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CurseCasualRegular" w:eastAsia="Times New Roman" w:hAnsi="CurseCasualRegular" w:cs="Times New Roman"/>
          <w:sz w:val="32"/>
          <w:szCs w:val="32"/>
        </w:rPr>
        <w:t xml:space="preserve">Notification of Student Rights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b/>
          <w:bCs/>
          <w:sz w:val="18"/>
          <w:szCs w:val="18"/>
        </w:rPr>
        <w:t xml:space="preserve">RIGHT TO KNOW PROFESSIONAL QUALIFICATIONS OF TEACHERS AND PARAPROFESSIONALS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Date: August 8, 2018 Dear Parents,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In compliance with the requirements of the Elementary and Secondary Education Act Scintilla Charter Academy would like to inform you that you may request information about the professional qualifications of your scholar’s teacher(s). The following information may be requested: </w:t>
      </w:r>
    </w:p>
    <w:p w:rsidR="00B900BA" w:rsidRPr="00B900BA" w:rsidRDefault="00B900BA" w:rsidP="00B900BA">
      <w:pPr>
        <w:numPr>
          <w:ilvl w:val="0"/>
          <w:numId w:val="1"/>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Whether the teacher has met the Georgia Professional Standards Commission’s requirements for certification for the grade level and subject areas in which the teacher provides instruction; </w:t>
      </w:r>
    </w:p>
    <w:p w:rsidR="00B900BA" w:rsidRPr="00B900BA" w:rsidRDefault="00B900BA" w:rsidP="00B900BA">
      <w:pPr>
        <w:numPr>
          <w:ilvl w:val="0"/>
          <w:numId w:val="1"/>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Whether the teacher is teaching under an emergency or other provisional status through which Georgia qualifications or certification criteria have been waived; </w:t>
      </w:r>
    </w:p>
    <w:p w:rsidR="00B900BA" w:rsidRPr="00B900BA" w:rsidRDefault="00B900BA" w:rsidP="00B900BA">
      <w:pPr>
        <w:numPr>
          <w:ilvl w:val="0"/>
          <w:numId w:val="1"/>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The college major and any graduate certification or degree held by the teacher; </w:t>
      </w:r>
    </w:p>
    <w:p w:rsidR="00B900BA" w:rsidRPr="00B900BA" w:rsidRDefault="00B900BA" w:rsidP="00B900BA">
      <w:pPr>
        <w:numPr>
          <w:ilvl w:val="0"/>
          <w:numId w:val="1"/>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Whether the scholar is provided services by paraprofessionals, and if so, their qualifications.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If you wish to request information concerning your child’s teacher’s qualification, please contact the Dean of Student and Support, Mandy Avera at 229-244-5750.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Sincerely,</w:t>
      </w:r>
      <w:r w:rsidRPr="00B900BA">
        <w:rPr>
          <w:rFonts w:ascii="MinionPro" w:eastAsia="Times New Roman" w:hAnsi="MinionPro" w:cs="Times New Roman"/>
          <w:sz w:val="18"/>
          <w:szCs w:val="18"/>
        </w:rPr>
        <w:br/>
        <w:t>Mandy Avera</w:t>
      </w:r>
      <w:r w:rsidRPr="00B900BA">
        <w:rPr>
          <w:rFonts w:ascii="MinionPro" w:eastAsia="Times New Roman" w:hAnsi="MinionPro" w:cs="Times New Roman"/>
          <w:sz w:val="18"/>
          <w:szCs w:val="18"/>
        </w:rPr>
        <w:br/>
        <w:t xml:space="preserve">Dean of Student and Support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b/>
          <w:bCs/>
          <w:sz w:val="18"/>
          <w:szCs w:val="18"/>
        </w:rPr>
        <w:t xml:space="preserve">GENERAL PUBLIC COMPLAINTS POLICY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SCA Scholar, Parent/Guardian, or General Public Complaints Policy Purpose: The purpose of this policy is to provide guidelines to scholars, parents/guardians, or members of the general public</w:t>
      </w:r>
      <w:r w:rsidRPr="00B900BA">
        <w:rPr>
          <w:rFonts w:ascii="MinionPro" w:eastAsia="Times New Roman" w:hAnsi="MinionPro" w:cs="Times New Roman"/>
          <w:sz w:val="18"/>
          <w:szCs w:val="18"/>
        </w:rPr>
        <w:br/>
        <w:t xml:space="preserve">for filing complaints against the school or employee of the school on any and all matters including complaints concerning Federal Programs: Title I, Part A; Title I, Part C; Title I, Part D; Title II, Part A; Title III, Part A; Title VI, Part B; the McKinney-Vento Act; School Improvement 1003(a) and 1003(g) (SIG). </w:t>
      </w:r>
    </w:p>
    <w:p w:rsidR="00B900BA" w:rsidRPr="00B900BA" w:rsidRDefault="00B900BA" w:rsidP="00B900BA">
      <w:p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Dispute Resolution</w:t>
      </w:r>
      <w:r w:rsidRPr="00B900BA">
        <w:rPr>
          <w:rFonts w:ascii="MinionPro" w:eastAsia="Times New Roman" w:hAnsi="MinionPro" w:cs="Times New Roman"/>
          <w:sz w:val="18"/>
          <w:szCs w:val="18"/>
        </w:rPr>
        <w:br/>
        <w:t>1. The complaints process may be initiated directly to the Dean.</w:t>
      </w:r>
      <w:r w:rsidRPr="00B900BA">
        <w:rPr>
          <w:rFonts w:ascii="MinionPro" w:eastAsia="Times New Roman" w:hAnsi="MinionPro" w:cs="Times New Roman"/>
          <w:sz w:val="18"/>
          <w:szCs w:val="18"/>
        </w:rPr>
        <w:br/>
        <w:t xml:space="preserve">2. Parents, Guardians, or Unaccompanied youth who initiate a complaint, must do so in writing. </w:t>
      </w:r>
      <w:r w:rsidRPr="00B900BA">
        <w:rPr>
          <w:rFonts w:ascii="MinionPro" w:eastAsia="Times New Roman" w:hAnsi="MinionPro" w:cs="Times New Roman"/>
          <w:sz w:val="18"/>
          <w:szCs w:val="18"/>
        </w:rPr>
        <w:br/>
        <w:t>3. Written notice should be complete, as brief as possible, and simply stated.</w:t>
      </w:r>
      <w:r w:rsidRPr="00B900BA">
        <w:rPr>
          <w:rFonts w:ascii="MinionPro" w:eastAsia="Times New Roman" w:hAnsi="MinionPro" w:cs="Times New Roman"/>
          <w:sz w:val="18"/>
          <w:szCs w:val="18"/>
        </w:rPr>
        <w:br/>
        <w:t>4. The Dean will provide a written response to the dispute within 5 school days. The response will include a notice of the right to appeal, to an ad hoc Appeals Committee, the decision of the Dean.</w:t>
      </w:r>
      <w:r w:rsidRPr="00B900BA">
        <w:rPr>
          <w:rFonts w:ascii="MinionPro" w:eastAsia="Times New Roman" w:hAnsi="MinionPro" w:cs="Times New Roman"/>
          <w:sz w:val="18"/>
          <w:szCs w:val="18"/>
        </w:rPr>
        <w:br/>
        <w:t>5. If the Parent, Guardian, or Unaccompanied youth does not agree with the decision of the Dean, an appeal may be filed with the Appeals Committee.</w:t>
      </w:r>
      <w:r w:rsidRPr="00B900BA">
        <w:rPr>
          <w:rFonts w:ascii="MinionPro" w:eastAsia="Times New Roman" w:hAnsi="MinionPro" w:cs="Times New Roman"/>
          <w:sz w:val="18"/>
          <w:szCs w:val="18"/>
        </w:rPr>
        <w:br/>
        <w:t>6. The Appeals Committee will provide a written response to the appeal within 5 school days. The response will include a notice of the right to appeal his/her decision to the Governing Board.</w:t>
      </w:r>
      <w:r w:rsidRPr="00B900BA">
        <w:rPr>
          <w:rFonts w:ascii="MinionPro" w:eastAsia="Times New Roman" w:hAnsi="MinionPro" w:cs="Times New Roman"/>
          <w:sz w:val="18"/>
          <w:szCs w:val="18"/>
        </w:rPr>
        <w:br/>
        <w:t>7. If the Staff Member does not agree with the decision of the Appeals Committee, an appeal may be filed with the Governing Board.</w:t>
      </w:r>
      <w:r w:rsidRPr="00B900BA">
        <w:rPr>
          <w:rFonts w:ascii="MinionPro" w:eastAsia="Times New Roman" w:hAnsi="MinionPro" w:cs="Times New Roman"/>
          <w:sz w:val="18"/>
          <w:szCs w:val="18"/>
        </w:rPr>
        <w:br/>
        <w:t xml:space="preserve">8. Within thirty working days of receipt of the appeal of the Appeals Committee’s decision, the Appeals Committee will present the matter to the Governing Board at its regular meeting or at a special meeting called for that purpose. The Board will review the original complaint, the response of the Dean, the response of the Appeals Committee, and the response of the com- </w:t>
      </w:r>
      <w:proofErr w:type="spellStart"/>
      <w:r w:rsidRPr="00B900BA">
        <w:rPr>
          <w:rFonts w:ascii="MinionPro" w:eastAsia="Times New Roman" w:hAnsi="MinionPro" w:cs="Times New Roman"/>
          <w:sz w:val="18"/>
          <w:szCs w:val="18"/>
        </w:rPr>
        <w:t>plainant</w:t>
      </w:r>
      <w:proofErr w:type="spellEnd"/>
      <w:r w:rsidRPr="00B900BA">
        <w:rPr>
          <w:rFonts w:ascii="MinionPro" w:eastAsia="Times New Roman" w:hAnsi="MinionPro" w:cs="Times New Roman"/>
          <w:sz w:val="18"/>
          <w:szCs w:val="18"/>
        </w:rPr>
        <w:t xml:space="preserve">. In addition, the Board may, but is not required to, hear directly from any individuals with knowledge of any relevant facts relating to the complaint. </w:t>
      </w:r>
      <w:r w:rsidRPr="00B900BA">
        <w:rPr>
          <w:rFonts w:ascii="MinionPro" w:eastAsia="Times New Roman" w:hAnsi="MinionPro" w:cs="Times New Roman"/>
          <w:sz w:val="18"/>
          <w:szCs w:val="18"/>
        </w:rPr>
        <w:br/>
        <w:t>9.  The Governing Board will either uphold the recommendation of the Appeals Committee or require the school to take some other action in response to the complaint.</w:t>
      </w:r>
      <w:r w:rsidRPr="00B900BA">
        <w:rPr>
          <w:rFonts w:ascii="MinionPro" w:eastAsia="Times New Roman" w:hAnsi="MinionPro" w:cs="Times New Roman"/>
          <w:sz w:val="18"/>
          <w:szCs w:val="18"/>
        </w:rPr>
        <w:br/>
        <w:t>a. A copy of the action of the Board will be furnished to the complainant, either as a part of the minutes of the Governing Board or as a separate written statement that will include the right to appeal to the Georgia Department of Education.</w:t>
      </w:r>
      <w:r w:rsidRPr="00B900BA">
        <w:rPr>
          <w:rFonts w:ascii="MinionPro" w:eastAsia="Times New Roman" w:hAnsi="MinionPro" w:cs="Times New Roman"/>
          <w:sz w:val="18"/>
          <w:szCs w:val="18"/>
        </w:rPr>
        <w:br/>
        <w:t xml:space="preserve">b. The Board will be the final reviewing authority within the school. </w:t>
      </w:r>
    </w:p>
    <w:p w:rsidR="00B900BA" w:rsidRPr="00B900BA" w:rsidRDefault="00B900BA" w:rsidP="00B900BA">
      <w:pPr>
        <w:spacing w:before="100" w:beforeAutospacing="1" w:after="100" w:afterAutospacing="1"/>
        <w:rPr>
          <w:rFonts w:ascii="MinionPro" w:eastAsia="Times New Roman" w:hAnsi="MinionPro" w:cs="Times New Roman"/>
          <w:sz w:val="18"/>
          <w:szCs w:val="18"/>
        </w:rPr>
      </w:pPr>
      <w:r>
        <w:rPr>
          <w:rFonts w:ascii="MinionPro" w:eastAsia="Times New Roman" w:hAnsi="MinionPro" w:cs="Times New Roman"/>
          <w:sz w:val="18"/>
          <w:szCs w:val="18"/>
        </w:rPr>
        <w:lastRenderedPageBreak/>
        <w:t xml:space="preserve">10. </w:t>
      </w:r>
      <w:r w:rsidRPr="00B900BA">
        <w:rPr>
          <w:rFonts w:ascii="MinionPro" w:eastAsia="Times New Roman" w:hAnsi="MinionPro" w:cs="Times New Roman"/>
          <w:sz w:val="18"/>
          <w:szCs w:val="18"/>
        </w:rPr>
        <w:t xml:space="preserve">If the Parent, Guardian, or Unaccompanied youth is dissatisfied with the decision of the Governing Board, an appeal may be filed with the Deputy Appeals Committee of Teacher and Student Support at the Georgia Department of Education, 1854 Twin Towers East, Atlanta, GA 30334.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b/>
          <w:bCs/>
          <w:sz w:val="18"/>
          <w:szCs w:val="18"/>
        </w:rPr>
        <w:t xml:space="preserve">NOTICE OF NON-DISCRIMINATION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SCA does not discriminate on the basis of race, color, national origin, sex, disability, or age in its programs and activities. SCA also provides equal access or a fair opportunity to meet with any group officially affiliated with the Boy Scouts of America or any other youth group listed in Title 36 of the United States Code (as a patriotic society) that wishes to conduct a meeting within the open or limited public forum offered by the school. </w:t>
      </w:r>
    </w:p>
    <w:p w:rsidR="00B900BA" w:rsidRPr="00B900BA" w:rsidRDefault="00B900BA" w:rsidP="00B900BA">
      <w:p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The following person has been designated to handle inquiries regarding these non-discrimination policies:</w:t>
      </w:r>
      <w:r w:rsidRPr="00B900BA">
        <w:rPr>
          <w:rFonts w:ascii="MinionPro" w:eastAsia="Times New Roman" w:hAnsi="MinionPro" w:cs="Times New Roman"/>
          <w:sz w:val="18"/>
          <w:szCs w:val="18"/>
        </w:rPr>
        <w:br/>
        <w:t>Mandy Avera</w:t>
      </w:r>
      <w:r w:rsidRPr="00B900BA">
        <w:rPr>
          <w:rFonts w:ascii="MinionPro" w:eastAsia="Times New Roman" w:hAnsi="MinionPro" w:cs="Times New Roman"/>
          <w:sz w:val="18"/>
          <w:szCs w:val="18"/>
        </w:rPr>
        <w:br/>
        <w:t xml:space="preserve">Dean of </w:t>
      </w:r>
      <w:r>
        <w:rPr>
          <w:rFonts w:ascii="MinionPro" w:eastAsia="Times New Roman" w:hAnsi="MinionPro" w:cs="Times New Roman"/>
          <w:sz w:val="18"/>
          <w:szCs w:val="18"/>
        </w:rPr>
        <w:t>School</w:t>
      </w:r>
      <w:r>
        <w:rPr>
          <w:rFonts w:ascii="Times New Roman" w:eastAsia="Times New Roman" w:hAnsi="Times New Roman" w:cs="Times New Roman"/>
        </w:rPr>
        <w:br/>
      </w:r>
      <w:r w:rsidRPr="00B900BA">
        <w:rPr>
          <w:rFonts w:ascii="MinionPro" w:eastAsia="Times New Roman" w:hAnsi="MinionPro" w:cs="Times New Roman"/>
          <w:sz w:val="18"/>
          <w:szCs w:val="18"/>
        </w:rPr>
        <w:t>229-244-5750</w:t>
      </w:r>
      <w:r w:rsidRPr="00B900BA">
        <w:rPr>
          <w:rFonts w:ascii="MinionPro" w:eastAsia="Times New Roman" w:hAnsi="MinionPro" w:cs="Times New Roman"/>
          <w:sz w:val="18"/>
          <w:szCs w:val="18"/>
        </w:rPr>
        <w:br/>
      </w:r>
      <w:r>
        <w:rPr>
          <w:rFonts w:ascii="MinionPro" w:eastAsia="Times New Roman" w:hAnsi="MinionPro" w:cs="Times New Roman"/>
          <w:sz w:val="18"/>
          <w:szCs w:val="18"/>
        </w:rPr>
        <w:br/>
      </w:r>
      <w:r w:rsidRPr="00B900BA">
        <w:rPr>
          <w:rFonts w:ascii="MinionPro" w:eastAsia="Times New Roman" w:hAnsi="MinionPro" w:cs="Times New Roman"/>
          <w:sz w:val="18"/>
          <w:szCs w:val="18"/>
        </w:rPr>
        <w:t xml:space="preserve">For further information on notice of non-discrimination, please contact the Office for Civil Rights: </w:t>
      </w:r>
      <w:r>
        <w:rPr>
          <w:rFonts w:ascii="Times New Roman" w:eastAsia="Times New Roman" w:hAnsi="Times New Roman" w:cs="Times New Roman"/>
        </w:rPr>
        <w:br/>
      </w:r>
      <w:r w:rsidRPr="00B900BA">
        <w:rPr>
          <w:rFonts w:ascii="MinionPro" w:eastAsia="Times New Roman" w:hAnsi="MinionPro" w:cs="Times New Roman"/>
          <w:sz w:val="18"/>
          <w:szCs w:val="18"/>
        </w:rPr>
        <w:t>U.S. Department of Education Office of Civil Rights</w:t>
      </w:r>
      <w:r w:rsidRPr="00B900BA">
        <w:rPr>
          <w:rFonts w:ascii="MinionPro" w:eastAsia="Times New Roman" w:hAnsi="MinionPro" w:cs="Times New Roman"/>
          <w:sz w:val="18"/>
          <w:szCs w:val="18"/>
        </w:rPr>
        <w:br/>
        <w:t xml:space="preserve">400 Maryland Avenue, SW Washington, DC 20202-4605 1-800-421-3481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b/>
          <w:bCs/>
          <w:sz w:val="18"/>
          <w:szCs w:val="18"/>
        </w:rPr>
        <w:t xml:space="preserve">INDIVIDUALS WITH DISABILITIES EDUCATION ACT (IDEA)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SCA, in order to fulfill the obligations of the Individuals with Disabilities Education Act (IDEA) and Section 504 of the Rehabilitation Act, is required to inform and prov</w:t>
      </w:r>
      <w:r>
        <w:rPr>
          <w:rFonts w:ascii="MinionPro" w:eastAsia="Times New Roman" w:hAnsi="MinionPro" w:cs="Times New Roman"/>
          <w:sz w:val="18"/>
          <w:szCs w:val="18"/>
        </w:rPr>
        <w:t>ide full educational opportuni</w:t>
      </w:r>
      <w:r w:rsidRPr="00B900BA">
        <w:rPr>
          <w:rFonts w:ascii="MinionPro" w:eastAsia="Times New Roman" w:hAnsi="MinionPro" w:cs="Times New Roman"/>
          <w:sz w:val="18"/>
          <w:szCs w:val="18"/>
        </w:rPr>
        <w:t xml:space="preserve">ties to all individuals with disabilities ages birth through twenty-one.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SCA needs your assistance to identify, locate, and evaluate all children with disabilities. This public awareness notice is to inform parents and other individuals/agencies of the availability of education- al services and related services to all individuals who reside within the jurisdiction of SCA and who are between the ages of birth through twenty-one, regardless of the severity of their disability. This notice includes individuals in all public and private agencies and insti</w:t>
      </w:r>
      <w:r>
        <w:rPr>
          <w:rFonts w:ascii="MinionPro" w:eastAsia="Times New Roman" w:hAnsi="MinionPro" w:cs="Times New Roman"/>
          <w:sz w:val="18"/>
          <w:szCs w:val="18"/>
        </w:rPr>
        <w:t>tutions and highly mobile chil</w:t>
      </w:r>
      <w:r w:rsidRPr="00B900BA">
        <w:rPr>
          <w:rFonts w:ascii="MinionPro" w:eastAsia="Times New Roman" w:hAnsi="MinionPro" w:cs="Times New Roman"/>
          <w:sz w:val="18"/>
          <w:szCs w:val="18"/>
        </w:rPr>
        <w:t>dren with disabilities, such as migrant and homeless children, who r</w:t>
      </w:r>
      <w:r>
        <w:rPr>
          <w:rFonts w:ascii="MinionPro" w:eastAsia="Times New Roman" w:hAnsi="MinionPro" w:cs="Times New Roman"/>
          <w:sz w:val="18"/>
          <w:szCs w:val="18"/>
        </w:rPr>
        <w:t>eside within the legal boundar</w:t>
      </w:r>
      <w:r w:rsidRPr="00B900BA">
        <w:rPr>
          <w:rFonts w:ascii="MinionPro" w:eastAsia="Times New Roman" w:hAnsi="MinionPro" w:cs="Times New Roman"/>
          <w:sz w:val="18"/>
          <w:szCs w:val="18"/>
        </w:rPr>
        <w:t xml:space="preserve">ies of Lowndes County.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Anyone aware of an individual who may benefit from educational services and related services is encouraged to call SCA, at 229-244-5750.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Public Information</w:t>
      </w:r>
      <w:r w:rsidRPr="00B900BA">
        <w:rPr>
          <w:rFonts w:ascii="MinionPro" w:eastAsia="Times New Roman" w:hAnsi="MinionPro" w:cs="Times New Roman"/>
          <w:sz w:val="18"/>
          <w:szCs w:val="18"/>
        </w:rPr>
        <w:br/>
        <w:t>SCA has the following documents available for review by parents of children with disabilities and to the general public:</w:t>
      </w:r>
      <w:r w:rsidRPr="00B900BA">
        <w:rPr>
          <w:rFonts w:ascii="MinionPro" w:eastAsia="Times New Roman" w:hAnsi="MinionPro" w:cs="Times New Roman"/>
          <w:sz w:val="18"/>
          <w:szCs w:val="18"/>
        </w:rPr>
        <w:br/>
        <w:t>1. Comprehensive Plan for Special Education.</w:t>
      </w:r>
      <w:r w:rsidRPr="00B900BA">
        <w:rPr>
          <w:rFonts w:ascii="MinionPro" w:eastAsia="Times New Roman" w:hAnsi="MinionPro" w:cs="Times New Roman"/>
          <w:sz w:val="18"/>
          <w:szCs w:val="18"/>
        </w:rPr>
        <w:br/>
        <w:t>2. IDEA Federal Applications for Funds.</w:t>
      </w:r>
      <w:r w:rsidRPr="00B900BA">
        <w:rPr>
          <w:rFonts w:ascii="MinionPro" w:eastAsia="Times New Roman" w:hAnsi="MinionPro" w:cs="Times New Roman"/>
          <w:sz w:val="18"/>
          <w:szCs w:val="18"/>
        </w:rPr>
        <w:br/>
        <w:t>3. Special Education Accountability/Monitoring Final Report.</w:t>
      </w:r>
      <w:r w:rsidRPr="00B900BA">
        <w:rPr>
          <w:rFonts w:ascii="MinionPro" w:eastAsia="Times New Roman" w:hAnsi="MinionPro" w:cs="Times New Roman"/>
          <w:sz w:val="18"/>
          <w:szCs w:val="18"/>
        </w:rPr>
        <w:br/>
        <w:t xml:space="preserve">4. Applications, evaluations, periodic program plan or reports relating to federal programs including auditor’s reports, statements of assurance, budget, and grant materials.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For more information regarding IDEA, or if you have questions or need additional assistance, please contact SCA’s Special Education Coordinator: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Special Education Coordinator</w:t>
      </w:r>
      <w:r w:rsidRPr="00B900BA">
        <w:rPr>
          <w:rFonts w:ascii="MinionPro" w:eastAsia="Times New Roman" w:hAnsi="MinionPro" w:cs="Times New Roman"/>
          <w:sz w:val="18"/>
          <w:szCs w:val="18"/>
        </w:rPr>
        <w:br/>
        <w:t xml:space="preserve">Sarah </w:t>
      </w:r>
      <w:proofErr w:type="spellStart"/>
      <w:r w:rsidRPr="00B900BA">
        <w:rPr>
          <w:rFonts w:ascii="MinionPro" w:eastAsia="Times New Roman" w:hAnsi="MinionPro" w:cs="Times New Roman"/>
          <w:sz w:val="18"/>
          <w:szCs w:val="18"/>
        </w:rPr>
        <w:t>Ruddle</w:t>
      </w:r>
      <w:proofErr w:type="spellEnd"/>
      <w:r w:rsidRPr="00B900BA">
        <w:rPr>
          <w:rFonts w:ascii="MinionPro" w:eastAsia="Times New Roman" w:hAnsi="MinionPro" w:cs="Times New Roman"/>
          <w:sz w:val="18"/>
          <w:szCs w:val="18"/>
        </w:rPr>
        <w:br/>
        <w:t xml:space="preserve">229-244-5750 sruddle@scintillacharteracademy.com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b/>
          <w:bCs/>
          <w:sz w:val="18"/>
          <w:szCs w:val="18"/>
        </w:rPr>
        <w:t xml:space="preserve">CHILD FIND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Scintilla Charter Academy recognizes its responsibility to provide a free and appropriate public education to eligible scholars with disabilities within its geographical boundaries. Scintilla Charter Academy has a “child find” process that is designed to locate, identify and evaluate children with disabilities residing within its geographical </w:t>
      </w:r>
      <w:proofErr w:type="gramStart"/>
      <w:r w:rsidRPr="00B900BA">
        <w:rPr>
          <w:rFonts w:ascii="MinionPro" w:eastAsia="Times New Roman" w:hAnsi="MinionPro" w:cs="Times New Roman"/>
          <w:sz w:val="18"/>
          <w:szCs w:val="18"/>
        </w:rPr>
        <w:t>boundaries</w:t>
      </w:r>
      <w:proofErr w:type="gramEnd"/>
      <w:r w:rsidRPr="00B900BA">
        <w:rPr>
          <w:rFonts w:ascii="MinionPro" w:eastAsia="Times New Roman" w:hAnsi="MinionPro" w:cs="Times New Roman"/>
          <w:sz w:val="18"/>
          <w:szCs w:val="18"/>
        </w:rPr>
        <w:t xml:space="preserve"> kindergarten through grade 5.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lastRenderedPageBreak/>
        <w:t xml:space="preserve">If you know a child who lives within the boundaries of Scintilla Charter Academy attendance zone and who may be in the need of special education and/or related services, please contact Scintilla Charter Academy’s Special Education Coordinator for further information regarding the referral and evaluation process.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Scintilla Charter Academy’s Child Find process extends to schol</w:t>
      </w:r>
      <w:r>
        <w:rPr>
          <w:rFonts w:ascii="MinionPro" w:eastAsia="Times New Roman" w:hAnsi="MinionPro" w:cs="Times New Roman"/>
          <w:sz w:val="18"/>
          <w:szCs w:val="18"/>
        </w:rPr>
        <w:t>ars with physical or mental im</w:t>
      </w:r>
      <w:r w:rsidRPr="00B900BA">
        <w:rPr>
          <w:rFonts w:ascii="MinionPro" w:eastAsia="Times New Roman" w:hAnsi="MinionPro" w:cs="Times New Roman"/>
          <w:sz w:val="18"/>
          <w:szCs w:val="18"/>
        </w:rPr>
        <w:t xml:space="preserve">pairments that substantially limit a major life activity. Such scholars may be eligible for services or accommodations pursuant to Section 504 of the Rehabilitation Act. Section 504 is a Federal civil rights statute that prohibits discrimination against persons with disabilities and programs receiving Federal financial assistance. Please contact Scintilla Charter Academy’s Section 504 Coordinator for more information regarding Section 504 eligibility and services.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Scintilla Charter Academy</w:t>
      </w:r>
      <w:r w:rsidRPr="00B900BA">
        <w:rPr>
          <w:rFonts w:ascii="MinionPro" w:eastAsia="Times New Roman" w:hAnsi="MinionPro" w:cs="Times New Roman"/>
          <w:sz w:val="18"/>
          <w:szCs w:val="18"/>
        </w:rPr>
        <w:br/>
        <w:t xml:space="preserve">Special Education Coordinator/Section 504 Coordinator Sarah </w:t>
      </w:r>
      <w:proofErr w:type="spellStart"/>
      <w:r w:rsidRPr="00B900BA">
        <w:rPr>
          <w:rFonts w:ascii="MinionPro" w:eastAsia="Times New Roman" w:hAnsi="MinionPro" w:cs="Times New Roman"/>
          <w:sz w:val="18"/>
          <w:szCs w:val="18"/>
        </w:rPr>
        <w:t>Ruddle</w:t>
      </w:r>
      <w:proofErr w:type="spellEnd"/>
      <w:r w:rsidRPr="00B900BA">
        <w:rPr>
          <w:rFonts w:ascii="MinionPro" w:eastAsia="Times New Roman" w:hAnsi="MinionPro" w:cs="Times New Roman"/>
          <w:sz w:val="18"/>
          <w:szCs w:val="18"/>
        </w:rPr>
        <w:br/>
        <w:t>229-244-5750</w:t>
      </w:r>
      <w:r w:rsidRPr="00B900BA">
        <w:rPr>
          <w:rFonts w:ascii="MinionPro" w:eastAsia="Times New Roman" w:hAnsi="MinionPro" w:cs="Times New Roman"/>
          <w:sz w:val="18"/>
          <w:szCs w:val="18"/>
        </w:rPr>
        <w:br/>
        <w:t xml:space="preserve">sruddle@scintillacharteracademy.com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b/>
          <w:bCs/>
          <w:sz w:val="18"/>
          <w:szCs w:val="18"/>
        </w:rPr>
        <w:t xml:space="preserve">SECTION 504 OF THE REHABILITATION ACT OF 1973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Section 504 of the Rehabilitation Act of 1973 is a nondiscrimination statute enacted to prohibit dis- crimination and to assure that disabled scholars have educational opportunities and benefits equal to those provided to nondisabled scholars.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For more information regarding Section 504, or if you have questions or need additional assistance, please contact SCA’s Section 504 Coordinator: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Section 504 Coordinator</w:t>
      </w:r>
      <w:r w:rsidRPr="00B900BA">
        <w:rPr>
          <w:rFonts w:ascii="MinionPro" w:eastAsia="Times New Roman" w:hAnsi="MinionPro" w:cs="Times New Roman"/>
          <w:sz w:val="18"/>
          <w:szCs w:val="18"/>
        </w:rPr>
        <w:br/>
        <w:t xml:space="preserve">Sarah </w:t>
      </w:r>
      <w:proofErr w:type="spellStart"/>
      <w:r w:rsidRPr="00B900BA">
        <w:rPr>
          <w:rFonts w:ascii="MinionPro" w:eastAsia="Times New Roman" w:hAnsi="MinionPro" w:cs="Times New Roman"/>
          <w:sz w:val="18"/>
          <w:szCs w:val="18"/>
        </w:rPr>
        <w:t>Ruddle</w:t>
      </w:r>
      <w:proofErr w:type="spellEnd"/>
      <w:r w:rsidRPr="00B900BA">
        <w:rPr>
          <w:rFonts w:ascii="MinionPro" w:eastAsia="Times New Roman" w:hAnsi="MinionPro" w:cs="Times New Roman"/>
          <w:sz w:val="18"/>
          <w:szCs w:val="18"/>
        </w:rPr>
        <w:t xml:space="preserve"> sruddle@scintillacharteracademy.com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b/>
          <w:bCs/>
          <w:sz w:val="18"/>
          <w:szCs w:val="18"/>
        </w:rPr>
        <w:t xml:space="preserve">NOTIFICATION OF RIGHTS UNDER THE FAMILY EDUCATIONAL RIGHTS TO PRIVACY ACT (FERPA)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The Family Educational Rights and Privacy Act (FERPA) affords parents and scholars who are 18 years of age or older (“eligible students”) certain rights with respect to the scholar’s education records. These rights are: </w:t>
      </w:r>
    </w:p>
    <w:p w:rsidR="00B900BA" w:rsidRPr="00B900BA" w:rsidRDefault="00B900BA" w:rsidP="00B900BA">
      <w:pPr>
        <w:numPr>
          <w:ilvl w:val="0"/>
          <w:numId w:val="3"/>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The right to inspect and review the scholar’s education records within 45 days after the day </w:t>
      </w:r>
    </w:p>
    <w:p w:rsidR="00B900BA" w:rsidRPr="00B900BA" w:rsidRDefault="00B900BA" w:rsidP="00B900BA">
      <w:pPr>
        <w:spacing w:before="100" w:beforeAutospacing="1" w:after="100" w:afterAutospacing="1"/>
        <w:ind w:left="720"/>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Scintilla Charter Academy receives a request for access. </w:t>
      </w:r>
    </w:p>
    <w:p w:rsidR="00B900BA" w:rsidRPr="00B900BA" w:rsidRDefault="00B900BA" w:rsidP="00B900BA">
      <w:pPr>
        <w:spacing w:before="100" w:beforeAutospacing="1" w:after="100" w:afterAutospacing="1"/>
        <w:ind w:left="720"/>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Parents or eligible scholars who wish to inspect their child’s or their education records should submit to the Director of Student Information Systems a written request that identifies the records they wish to inspect. The school official will </w:t>
      </w:r>
      <w:proofErr w:type="gramStart"/>
      <w:r w:rsidRPr="00B900BA">
        <w:rPr>
          <w:rFonts w:ascii="MinionPro" w:eastAsia="Times New Roman" w:hAnsi="MinionPro" w:cs="Times New Roman"/>
          <w:sz w:val="18"/>
          <w:szCs w:val="18"/>
        </w:rPr>
        <w:t>make arrangements</w:t>
      </w:r>
      <w:proofErr w:type="gramEnd"/>
      <w:r w:rsidRPr="00B900BA">
        <w:rPr>
          <w:rFonts w:ascii="MinionPro" w:eastAsia="Times New Roman" w:hAnsi="MinionPro" w:cs="Times New Roman"/>
          <w:sz w:val="18"/>
          <w:szCs w:val="18"/>
        </w:rPr>
        <w:t xml:space="preserve"> for access and notify the parent or eligible scholar of the time and place where the records may be inspected. </w:t>
      </w:r>
    </w:p>
    <w:p w:rsidR="00B900BA" w:rsidRPr="00B900BA" w:rsidRDefault="00B900BA" w:rsidP="00B900BA">
      <w:pPr>
        <w:numPr>
          <w:ilvl w:val="0"/>
          <w:numId w:val="3"/>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The right to request the amendment of the scholar’s education re</w:t>
      </w:r>
      <w:r w:rsidR="004B5FF7">
        <w:rPr>
          <w:rFonts w:ascii="MinionPro" w:eastAsia="Times New Roman" w:hAnsi="MinionPro" w:cs="Times New Roman"/>
          <w:sz w:val="18"/>
          <w:szCs w:val="18"/>
        </w:rPr>
        <w:t>cords that the parent or eligi</w:t>
      </w:r>
      <w:r w:rsidRPr="00B900BA">
        <w:rPr>
          <w:rFonts w:ascii="MinionPro" w:eastAsia="Times New Roman" w:hAnsi="MinionPro" w:cs="Times New Roman"/>
          <w:sz w:val="18"/>
          <w:szCs w:val="18"/>
        </w:rPr>
        <w:t xml:space="preserve">ble scholar believes are inaccurate, misleading, or otherwise in violation of the scholar’s privacy rights under FERPA. </w:t>
      </w:r>
    </w:p>
    <w:p w:rsidR="00B900BA" w:rsidRPr="00B900BA" w:rsidRDefault="00B900BA" w:rsidP="00B900BA">
      <w:pPr>
        <w:spacing w:before="100" w:beforeAutospacing="1" w:after="100" w:afterAutospacing="1"/>
        <w:ind w:left="720"/>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Parents or eligible scholars who wish to ask Scintilla Charter Academy to amend their child’s or their education record should write the Dean of Students &amp; School Support, clearly identify the part of the record they want changed, and specify why it should be changed. If the school decides not to amend the record as requested by the parent or eligible scholar, the school will notify the parent or eligible scholar of the decision and of their right to a hearing regarding the request for amendment. Additional information regarding the hearing procedures will be provided to the parent or eligible scholar when notified of the right to a hearing. </w:t>
      </w:r>
    </w:p>
    <w:p w:rsidR="00B900BA" w:rsidRPr="00B900BA" w:rsidRDefault="00B900BA" w:rsidP="00B900BA">
      <w:pPr>
        <w:numPr>
          <w:ilvl w:val="0"/>
          <w:numId w:val="3"/>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The right to provide written consent before the school discloses</w:t>
      </w:r>
      <w:r w:rsidR="004B5FF7">
        <w:rPr>
          <w:rFonts w:ascii="MinionPro" w:eastAsia="Times New Roman" w:hAnsi="MinionPro" w:cs="Times New Roman"/>
          <w:sz w:val="18"/>
          <w:szCs w:val="18"/>
        </w:rPr>
        <w:t xml:space="preserve"> personally identifiable infor</w:t>
      </w:r>
      <w:r w:rsidRPr="00B900BA">
        <w:rPr>
          <w:rFonts w:ascii="MinionPro" w:eastAsia="Times New Roman" w:hAnsi="MinionPro" w:cs="Times New Roman"/>
          <w:sz w:val="18"/>
          <w:szCs w:val="18"/>
        </w:rPr>
        <w:t xml:space="preserve">mation (PII) from the scholar’s education records, except to the extent that FERPA authorizes disclosure without consent. </w:t>
      </w:r>
    </w:p>
    <w:p w:rsidR="00B900BA" w:rsidRPr="00B900BA" w:rsidRDefault="00B900BA" w:rsidP="00B900BA">
      <w:pPr>
        <w:spacing w:before="100" w:beforeAutospacing="1" w:after="100" w:afterAutospacing="1"/>
        <w:ind w:left="720"/>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One exception, which permits disclosure without consent, is disclosure to school officials with legitimate educational interests. The criteria for determining who constitutes a school official and what constitutes a </w:t>
      </w:r>
      <w:r w:rsidRPr="00B900BA">
        <w:rPr>
          <w:rFonts w:ascii="MinionPro" w:eastAsia="Times New Roman" w:hAnsi="MinionPro" w:cs="Times New Roman"/>
          <w:sz w:val="18"/>
          <w:szCs w:val="18"/>
        </w:rPr>
        <w:lastRenderedPageBreak/>
        <w:t xml:space="preserve">legitimate educational interest must be set forth in the school’s or school district’s annual notification for FERPA rights. A school official typically includes a person employed by the school or school district as an administrator, supervisor, instructor, or support staff member (including health or medical staff and law enforcement unit personnel) or a person serving on the school board. A school official also may include a volunteer, contractor, or consultant who, while not employed by the school, performs an institutional service or </w:t>
      </w:r>
      <w:proofErr w:type="spellStart"/>
      <w:r w:rsidRPr="00B900BA">
        <w:rPr>
          <w:rFonts w:ascii="MinionPro" w:eastAsia="Times New Roman" w:hAnsi="MinionPro" w:cs="Times New Roman"/>
          <w:sz w:val="18"/>
          <w:szCs w:val="18"/>
        </w:rPr>
        <w:t>func</w:t>
      </w:r>
      <w:proofErr w:type="spellEnd"/>
      <w:r w:rsidRPr="00B900BA">
        <w:rPr>
          <w:rFonts w:ascii="MinionPro" w:eastAsia="Times New Roman" w:hAnsi="MinionPro" w:cs="Times New Roman"/>
          <w:sz w:val="18"/>
          <w:szCs w:val="18"/>
        </w:rPr>
        <w:t xml:space="preserve">- </w:t>
      </w:r>
      <w:proofErr w:type="spellStart"/>
      <w:r w:rsidRPr="00B900BA">
        <w:rPr>
          <w:rFonts w:ascii="MinionPro" w:eastAsia="Times New Roman" w:hAnsi="MinionPro" w:cs="Times New Roman"/>
          <w:sz w:val="18"/>
          <w:szCs w:val="18"/>
        </w:rPr>
        <w:t>tion</w:t>
      </w:r>
      <w:proofErr w:type="spellEnd"/>
      <w:r w:rsidRPr="00B900BA">
        <w:rPr>
          <w:rFonts w:ascii="MinionPro" w:eastAsia="Times New Roman" w:hAnsi="MinionPro" w:cs="Times New Roman"/>
          <w:sz w:val="18"/>
          <w:szCs w:val="18"/>
        </w:rPr>
        <w:t xml:space="preserve"> for which the school would otherwise use its own employees and who is under the direct control of the school with respect to the use and maintenance of PII from education records, such as an attorney, auditor, medical consultant, or therapist; a parent or scholar volunteering to serve on an official committee, such as a disciplinary or grievance committee; or a parent, scholar, or other volunteer assisting another school official in performing his or her tasks. A school official typically has a legitimate educational interest if the official needs to review an education record in order to fulfill his or her professional responsibility. </w:t>
      </w:r>
    </w:p>
    <w:p w:rsidR="00B900BA" w:rsidRPr="00B900BA" w:rsidRDefault="00B900BA" w:rsidP="00B900BA">
      <w:pPr>
        <w:spacing w:before="100" w:beforeAutospacing="1" w:after="100" w:afterAutospacing="1"/>
        <w:ind w:left="720"/>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Upon request, the school discloses education records without consent to officials of another school or school district in which a scholar seeks or intends to enroll, or is already enrolled if the disclosure is for purposes of the scholar’s enrollment or transfer. </w:t>
      </w:r>
    </w:p>
    <w:p w:rsidR="00B900BA" w:rsidRPr="00B900BA" w:rsidRDefault="00B900BA" w:rsidP="00B900BA">
      <w:pPr>
        <w:numPr>
          <w:ilvl w:val="0"/>
          <w:numId w:val="3"/>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The right to file a complaint with the U.S. Department of Education concerning alleged failures by the Scintilla Charter Academy to comply with the requirements of FERPA. The name and address of the Office that administers FERPA are: Family Policy Compliance Office U.S. Department of Education 400 Maryland Avenue, SW Washington, DC 20202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See the list below of the disclosures that elementary and secondary schools may make without consent.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FERPA permits the disclosure of PII from scholars’ education records, without consent of the parent or eligible scholar, if the disclosure meets certain conditions found </w:t>
      </w:r>
      <w:r w:rsidR="004B5FF7">
        <w:rPr>
          <w:rFonts w:ascii="MinionPro" w:eastAsia="Times New Roman" w:hAnsi="MinionPro" w:cs="Times New Roman"/>
          <w:sz w:val="18"/>
          <w:szCs w:val="18"/>
        </w:rPr>
        <w:t>in § 99.31 of the FERPA regula</w:t>
      </w:r>
      <w:r w:rsidRPr="00B900BA">
        <w:rPr>
          <w:rFonts w:ascii="MinionPro" w:eastAsia="Times New Roman" w:hAnsi="MinionPro" w:cs="Times New Roman"/>
          <w:sz w:val="18"/>
          <w:szCs w:val="18"/>
        </w:rPr>
        <w:t xml:space="preserve">tions. Except for disclosures to school officials, disclosures related to some judicial orders or lawful- </w:t>
      </w:r>
      <w:proofErr w:type="spellStart"/>
      <w:r w:rsidRPr="00B900BA">
        <w:rPr>
          <w:rFonts w:ascii="MinionPro" w:eastAsia="Times New Roman" w:hAnsi="MinionPro" w:cs="Times New Roman"/>
          <w:sz w:val="18"/>
          <w:szCs w:val="18"/>
        </w:rPr>
        <w:t>ly</w:t>
      </w:r>
      <w:proofErr w:type="spellEnd"/>
      <w:r w:rsidRPr="00B900BA">
        <w:rPr>
          <w:rFonts w:ascii="MinionPro" w:eastAsia="Times New Roman" w:hAnsi="MinionPro" w:cs="Times New Roman"/>
          <w:sz w:val="18"/>
          <w:szCs w:val="18"/>
        </w:rPr>
        <w:t xml:space="preserve"> issued subpoenas, disclosures of directory information, and disclosures to the parent or eligible scholar, § 99.32 of the FERPA regulations requires the school to record the disclosure. Parents and eligible scholars have a right to inspect and review the record of disclosures. A school may disclose PII from the education records of a scholar without obtaining prior written consent of the parents or the eligible scholar – </w:t>
      </w:r>
    </w:p>
    <w:p w:rsidR="00B900BA" w:rsidRPr="00B900BA" w:rsidRDefault="00B900BA" w:rsidP="00B900BA">
      <w:pPr>
        <w:numPr>
          <w:ilvl w:val="0"/>
          <w:numId w:val="4"/>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To other school officials, including teachers, within the educational agency or institution whom the school has determined to have legitimate educational interests. This includes contractors, consultants, volunteers, or other parties to whom the school ha</w:t>
      </w:r>
      <w:r w:rsidR="004B5FF7">
        <w:rPr>
          <w:rFonts w:ascii="MinionPro" w:eastAsia="Times New Roman" w:hAnsi="MinionPro" w:cs="Times New Roman"/>
          <w:sz w:val="18"/>
          <w:szCs w:val="18"/>
        </w:rPr>
        <w:t>s outsourced institutional ser</w:t>
      </w:r>
      <w:r w:rsidRPr="00B900BA">
        <w:rPr>
          <w:rFonts w:ascii="MinionPro" w:eastAsia="Times New Roman" w:hAnsi="MinionPro" w:cs="Times New Roman"/>
          <w:sz w:val="18"/>
          <w:szCs w:val="18"/>
        </w:rPr>
        <w:t>vices or functions, provided that the conditions listed in § 99.31(a)(1)(</w:t>
      </w:r>
      <w:proofErr w:type="spellStart"/>
      <w:r w:rsidRPr="00B900BA">
        <w:rPr>
          <w:rFonts w:ascii="MinionPro" w:eastAsia="Times New Roman" w:hAnsi="MinionPro" w:cs="Times New Roman"/>
          <w:sz w:val="18"/>
          <w:szCs w:val="18"/>
        </w:rPr>
        <w:t>i</w:t>
      </w:r>
      <w:proofErr w:type="spellEnd"/>
      <w:r w:rsidRPr="00B900BA">
        <w:rPr>
          <w:rFonts w:ascii="MinionPro" w:eastAsia="Times New Roman" w:hAnsi="MinionPro" w:cs="Times New Roman"/>
          <w:sz w:val="18"/>
          <w:szCs w:val="18"/>
        </w:rPr>
        <w:t>)(B)(1) - (a)(1)(</w:t>
      </w:r>
      <w:proofErr w:type="spellStart"/>
      <w:r w:rsidRPr="00B900BA">
        <w:rPr>
          <w:rFonts w:ascii="MinionPro" w:eastAsia="Times New Roman" w:hAnsi="MinionPro" w:cs="Times New Roman"/>
          <w:sz w:val="18"/>
          <w:szCs w:val="18"/>
        </w:rPr>
        <w:t>i</w:t>
      </w:r>
      <w:proofErr w:type="spellEnd"/>
      <w:r w:rsidRPr="00B900BA">
        <w:rPr>
          <w:rFonts w:ascii="MinionPro" w:eastAsia="Times New Roman" w:hAnsi="MinionPro" w:cs="Times New Roman"/>
          <w:sz w:val="18"/>
          <w:szCs w:val="18"/>
        </w:rPr>
        <w:t xml:space="preserve">)(B)(3) are met. (§ 99.31(a)(1)) </w:t>
      </w:r>
    </w:p>
    <w:p w:rsidR="00B900BA" w:rsidRPr="00B900BA" w:rsidRDefault="00B900BA" w:rsidP="00B900BA">
      <w:pPr>
        <w:numPr>
          <w:ilvl w:val="0"/>
          <w:numId w:val="4"/>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To officials of another school, school system, or institution of postsecondary education where the scholar seeks or intends to enroll, or where the scholar is already enrolled if the disclosure is for purposes related to the scholar’s enrollment or transfer, subject to the requirements of § 99.34. (§ 99.31(a)(2)) </w:t>
      </w:r>
    </w:p>
    <w:p w:rsidR="00B900BA" w:rsidRPr="00B900BA" w:rsidRDefault="00B900BA" w:rsidP="00B900BA">
      <w:pPr>
        <w:numPr>
          <w:ilvl w:val="0"/>
          <w:numId w:val="4"/>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To authorized representatives of the U. S. Comptroller General, the U. S. Attorney General, the U.S. Secretary of Education, or State and local educational authori</w:t>
      </w:r>
      <w:r w:rsidR="004B5FF7">
        <w:rPr>
          <w:rFonts w:ascii="MinionPro" w:eastAsia="Times New Roman" w:hAnsi="MinionPro" w:cs="Times New Roman"/>
          <w:sz w:val="18"/>
          <w:szCs w:val="18"/>
        </w:rPr>
        <w:t>ties, such as the State educat</w:t>
      </w:r>
      <w:r w:rsidRPr="00B900BA">
        <w:rPr>
          <w:rFonts w:ascii="MinionPro" w:eastAsia="Times New Roman" w:hAnsi="MinionPro" w:cs="Times New Roman"/>
          <w:sz w:val="18"/>
          <w:szCs w:val="18"/>
        </w:rPr>
        <w:t xml:space="preserve">ional agency (SEA) in the parent or eligible scholar’s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w:t>
      </w:r>
      <w:r w:rsidR="004B5FF7">
        <w:rPr>
          <w:rFonts w:ascii="MinionPro" w:eastAsia="Times New Roman" w:hAnsi="MinionPro" w:cs="Times New Roman"/>
          <w:sz w:val="18"/>
          <w:szCs w:val="18"/>
        </w:rPr>
        <w:t>as their authorized representa</w:t>
      </w:r>
      <w:r w:rsidRPr="00B900BA">
        <w:rPr>
          <w:rFonts w:ascii="MinionPro" w:eastAsia="Times New Roman" w:hAnsi="MinionPro" w:cs="Times New Roman"/>
          <w:sz w:val="18"/>
          <w:szCs w:val="18"/>
        </w:rPr>
        <w:t xml:space="preserve">tives to conduct any audit, evaluation, or enforcement or compliance activity on their behalf, if applicable requirements are met. (§§ 99.31(a)(3) and 99.35) </w:t>
      </w:r>
    </w:p>
    <w:p w:rsidR="00B900BA" w:rsidRPr="00B900BA" w:rsidRDefault="00B900BA" w:rsidP="00B900BA">
      <w:pPr>
        <w:numPr>
          <w:ilvl w:val="0"/>
          <w:numId w:val="4"/>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In connection with financial aid for which the scholar has applied or which the scholar has received, if the information is necessary for such purposes as to determine eligibility for the aid, determine the amount of the aid, determine the conditions of the aid, or enforce the terms and conditions of the aid. (§ 99.31(a)(4)) </w:t>
      </w:r>
    </w:p>
    <w:p w:rsidR="00B900BA" w:rsidRPr="00B900BA" w:rsidRDefault="00B900BA" w:rsidP="00B900BA">
      <w:pPr>
        <w:numPr>
          <w:ilvl w:val="0"/>
          <w:numId w:val="4"/>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To State and local officials or authorities to whom information is specifically allowed to be reported or disclosed by a State statute that concerns the juven</w:t>
      </w:r>
      <w:r w:rsidR="004B5FF7">
        <w:rPr>
          <w:rFonts w:ascii="MinionPro" w:eastAsia="Times New Roman" w:hAnsi="MinionPro" w:cs="Times New Roman"/>
          <w:sz w:val="18"/>
          <w:szCs w:val="18"/>
        </w:rPr>
        <w:t>ile justice system and the sys</w:t>
      </w:r>
      <w:r w:rsidRPr="00B900BA">
        <w:rPr>
          <w:rFonts w:ascii="MinionPro" w:eastAsia="Times New Roman" w:hAnsi="MinionPro" w:cs="Times New Roman"/>
          <w:sz w:val="18"/>
          <w:szCs w:val="18"/>
        </w:rPr>
        <w:t xml:space="preserve">tem’s ability to effectively serve, prior to adjudication, the scholar whose records were released, subject to § 99.38. (§ 99.31(a)(5)) </w:t>
      </w:r>
    </w:p>
    <w:p w:rsidR="00B900BA" w:rsidRPr="00B900BA" w:rsidRDefault="00B900BA" w:rsidP="00B900BA">
      <w:pPr>
        <w:numPr>
          <w:ilvl w:val="0"/>
          <w:numId w:val="4"/>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To organizations conducting studies for, or on behalf of, the school, in order to: (a) develop, validate, or administer predictive tests; (b) administer scholar aid programs; or (c) improve instruction, if applicable requirements are met. (§ 99.31(a)(6)) </w:t>
      </w:r>
    </w:p>
    <w:p w:rsidR="00B900BA" w:rsidRPr="00B900BA" w:rsidRDefault="00B900BA" w:rsidP="00B900BA">
      <w:pPr>
        <w:numPr>
          <w:ilvl w:val="0"/>
          <w:numId w:val="4"/>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To accrediting organizations to carry out their accrediting functions. (§ 99.31(a)(7)) </w:t>
      </w:r>
    </w:p>
    <w:p w:rsidR="00B900BA" w:rsidRPr="00B900BA" w:rsidRDefault="00B900BA" w:rsidP="00B900BA">
      <w:pPr>
        <w:numPr>
          <w:ilvl w:val="0"/>
          <w:numId w:val="4"/>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To parents of an eligible scholar if the scholar is a dependent for IRS tax purposes. (§ 99.31(a) (8)) </w:t>
      </w:r>
    </w:p>
    <w:p w:rsidR="00B900BA" w:rsidRPr="00B900BA" w:rsidRDefault="00B900BA" w:rsidP="00B900BA">
      <w:pPr>
        <w:numPr>
          <w:ilvl w:val="0"/>
          <w:numId w:val="5"/>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lastRenderedPageBreak/>
        <w:t xml:space="preserve">To comply with a judicial order or lawfully issued subpoena if applicable requirements are met. (§ 99.31(a)(9)) </w:t>
      </w:r>
    </w:p>
    <w:p w:rsidR="00B900BA" w:rsidRPr="00B900BA" w:rsidRDefault="00B900BA" w:rsidP="00B900BA">
      <w:pPr>
        <w:numPr>
          <w:ilvl w:val="0"/>
          <w:numId w:val="5"/>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To appropriate officials in connection with a health or safety emergency, subject to § 99.36. (§ 99.31(a</w:t>
      </w:r>
      <w:proofErr w:type="gramStart"/>
      <w:r w:rsidRPr="00B900BA">
        <w:rPr>
          <w:rFonts w:ascii="MinionPro" w:eastAsia="Times New Roman" w:hAnsi="MinionPro" w:cs="Times New Roman"/>
          <w:sz w:val="18"/>
          <w:szCs w:val="18"/>
        </w:rPr>
        <w:t>)(</w:t>
      </w:r>
      <w:proofErr w:type="gramEnd"/>
      <w:r w:rsidRPr="00B900BA">
        <w:rPr>
          <w:rFonts w:ascii="MinionPro" w:eastAsia="Times New Roman" w:hAnsi="MinionPro" w:cs="Times New Roman"/>
          <w:sz w:val="18"/>
          <w:szCs w:val="18"/>
        </w:rPr>
        <w:t xml:space="preserve">10) </w:t>
      </w:r>
    </w:p>
    <w:p w:rsidR="00B900BA" w:rsidRPr="00B900BA" w:rsidRDefault="00B900BA" w:rsidP="00B900BA">
      <w:pPr>
        <w:numPr>
          <w:ilvl w:val="0"/>
          <w:numId w:val="5"/>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Information the school has designated as “directory information” if applicable requirements under § 99.37 are met. (§ 99.31(a</w:t>
      </w:r>
      <w:proofErr w:type="gramStart"/>
      <w:r w:rsidRPr="00B900BA">
        <w:rPr>
          <w:rFonts w:ascii="MinionPro" w:eastAsia="Times New Roman" w:hAnsi="MinionPro" w:cs="Times New Roman"/>
          <w:sz w:val="18"/>
          <w:szCs w:val="18"/>
        </w:rPr>
        <w:t>)(</w:t>
      </w:r>
      <w:proofErr w:type="gramEnd"/>
      <w:r w:rsidRPr="00B900BA">
        <w:rPr>
          <w:rFonts w:ascii="MinionPro" w:eastAsia="Times New Roman" w:hAnsi="MinionPro" w:cs="Times New Roman"/>
          <w:sz w:val="18"/>
          <w:szCs w:val="18"/>
        </w:rPr>
        <w:t xml:space="preserve">11)) </w:t>
      </w:r>
    </w:p>
    <w:p w:rsidR="00B900BA" w:rsidRPr="00B900BA" w:rsidRDefault="00B900BA" w:rsidP="00B900BA">
      <w:pPr>
        <w:numPr>
          <w:ilvl w:val="0"/>
          <w:numId w:val="5"/>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To an agency caseworker or other representative of a State or loca</w:t>
      </w:r>
      <w:r w:rsidR="004B5FF7">
        <w:rPr>
          <w:rFonts w:ascii="MinionPro" w:eastAsia="Times New Roman" w:hAnsi="MinionPro" w:cs="Times New Roman"/>
          <w:sz w:val="18"/>
          <w:szCs w:val="18"/>
        </w:rPr>
        <w:t>l child welfare agency or trib</w:t>
      </w:r>
      <w:r w:rsidRPr="00B900BA">
        <w:rPr>
          <w:rFonts w:ascii="MinionPro" w:eastAsia="Times New Roman" w:hAnsi="MinionPro" w:cs="Times New Roman"/>
          <w:sz w:val="18"/>
          <w:szCs w:val="18"/>
        </w:rPr>
        <w:t>al organization who is authorized to access a scholar’s case pla</w:t>
      </w:r>
      <w:r w:rsidR="004B5FF7">
        <w:rPr>
          <w:rFonts w:ascii="MinionPro" w:eastAsia="Times New Roman" w:hAnsi="MinionPro" w:cs="Times New Roman"/>
          <w:sz w:val="18"/>
          <w:szCs w:val="18"/>
        </w:rPr>
        <w:t>n when such agency or organiza</w:t>
      </w:r>
      <w:r w:rsidRPr="00B900BA">
        <w:rPr>
          <w:rFonts w:ascii="MinionPro" w:eastAsia="Times New Roman" w:hAnsi="MinionPro" w:cs="Times New Roman"/>
          <w:sz w:val="18"/>
          <w:szCs w:val="18"/>
        </w:rPr>
        <w:t xml:space="preserve">tion is legally responsible, in accordance with State or tribal law, for the care and protection of the student in foster care placement. (20 U.S.C. § 1232g(b)(1)(L)) </w:t>
      </w:r>
    </w:p>
    <w:p w:rsidR="00B900BA" w:rsidRPr="00B900BA" w:rsidRDefault="00B900BA" w:rsidP="004B5FF7">
      <w:pPr>
        <w:numPr>
          <w:ilvl w:val="0"/>
          <w:numId w:val="5"/>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To the Secretary of Agriculture or authorized representatives of the Food and Nutrition Service for purposes of conducting program monitoring, evaluations, and performance measurements of programs authorized under the Richard B. Russell National School Lunch Act or the Child Nutrition Act of 1966, under certain conditions. (20 U.S.C. § 1232g(b)(1)(K)) </w:t>
      </w:r>
    </w:p>
    <w:p w:rsidR="00B900BA" w:rsidRPr="00B900BA" w:rsidRDefault="00B900BA" w:rsidP="004B5FF7">
      <w:pPr>
        <w:spacing w:before="100" w:beforeAutospacing="1" w:after="100" w:afterAutospacing="1"/>
        <w:ind w:left="720" w:hanging="720"/>
        <w:rPr>
          <w:rFonts w:ascii="MinionPro" w:eastAsia="Times New Roman" w:hAnsi="MinionPro" w:cs="Times New Roman"/>
          <w:sz w:val="18"/>
          <w:szCs w:val="18"/>
        </w:rPr>
      </w:pPr>
      <w:r w:rsidRPr="00B900BA">
        <w:rPr>
          <w:rFonts w:ascii="MinionPro" w:eastAsia="Times New Roman" w:hAnsi="MinionPro" w:cs="Times New Roman"/>
          <w:b/>
          <w:bCs/>
          <w:sz w:val="18"/>
          <w:szCs w:val="18"/>
        </w:rPr>
        <w:t xml:space="preserve">FERPA Directory Information </w:t>
      </w:r>
    </w:p>
    <w:p w:rsidR="00B900BA" w:rsidRPr="00B900BA" w:rsidRDefault="00B900BA" w:rsidP="004B5FF7">
      <w:p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The Family Educational Rights and Privacy Act (FERPA), a Federal law, requires that Scintilla Charter Academy, with certain exceptions, obtain your written consent prior to the disclosure of personally identifiable information from your child’s education records. However, Scintilla Charter Academy may disclose appropriately designated “directory information” without written consent, unless you have advised Scintilla Charter Academy to the contrary in accordance with Scintilla Charter Academy procedures. The primary purpose of directory information is to allow the </w:t>
      </w:r>
      <w:proofErr w:type="spellStart"/>
      <w:r w:rsidRPr="00B900BA">
        <w:rPr>
          <w:rFonts w:ascii="MinionPro" w:eastAsia="Times New Roman" w:hAnsi="MinionPro" w:cs="Times New Roman"/>
          <w:sz w:val="18"/>
          <w:szCs w:val="18"/>
        </w:rPr>
        <w:t>Scin</w:t>
      </w:r>
      <w:proofErr w:type="spellEnd"/>
      <w:r w:rsidRPr="00B900BA">
        <w:rPr>
          <w:rFonts w:ascii="MinionPro" w:eastAsia="Times New Roman" w:hAnsi="MinionPro" w:cs="Times New Roman"/>
          <w:sz w:val="18"/>
          <w:szCs w:val="18"/>
        </w:rPr>
        <w:t xml:space="preserve">- </w:t>
      </w:r>
      <w:proofErr w:type="spellStart"/>
      <w:r w:rsidRPr="00B900BA">
        <w:rPr>
          <w:rFonts w:ascii="MinionPro" w:eastAsia="Times New Roman" w:hAnsi="MinionPro" w:cs="Times New Roman"/>
          <w:sz w:val="18"/>
          <w:szCs w:val="18"/>
        </w:rPr>
        <w:t>tilla</w:t>
      </w:r>
      <w:proofErr w:type="spellEnd"/>
      <w:r w:rsidRPr="00B900BA">
        <w:rPr>
          <w:rFonts w:ascii="MinionPro" w:eastAsia="Times New Roman" w:hAnsi="MinionPro" w:cs="Times New Roman"/>
          <w:sz w:val="18"/>
          <w:szCs w:val="18"/>
        </w:rPr>
        <w:t xml:space="preserve"> Charter Academy to include information from your child’s education records in certain school publications. Examples include:</w:t>
      </w:r>
      <w:r w:rsidRPr="00B900BA">
        <w:rPr>
          <w:rFonts w:ascii="MinionPro" w:eastAsia="Times New Roman" w:hAnsi="MinionPro" w:cs="Times New Roman"/>
          <w:sz w:val="18"/>
          <w:szCs w:val="18"/>
        </w:rPr>
        <w:br/>
        <w:t>• A playbill, showing your scholar’s role in a drama production;</w:t>
      </w:r>
      <w:r w:rsidRPr="00B900BA">
        <w:rPr>
          <w:rFonts w:ascii="MinionPro" w:eastAsia="Times New Roman" w:hAnsi="MinionPro" w:cs="Times New Roman"/>
          <w:sz w:val="18"/>
          <w:szCs w:val="18"/>
        </w:rPr>
        <w:br/>
        <w:t>• The annual yearbook;</w:t>
      </w:r>
      <w:r w:rsidRPr="00B900BA">
        <w:rPr>
          <w:rFonts w:ascii="MinionPro" w:eastAsia="Times New Roman" w:hAnsi="MinionPro" w:cs="Times New Roman"/>
          <w:sz w:val="18"/>
          <w:szCs w:val="18"/>
        </w:rPr>
        <w:br/>
        <w:t>• Honor roll or other recognition lists;</w:t>
      </w:r>
      <w:r w:rsidRPr="00B900BA">
        <w:rPr>
          <w:rFonts w:ascii="MinionPro" w:eastAsia="Times New Roman" w:hAnsi="MinionPro" w:cs="Times New Roman"/>
          <w:sz w:val="18"/>
          <w:szCs w:val="18"/>
        </w:rPr>
        <w:br/>
        <w:t>• Graduation programs; and</w:t>
      </w:r>
      <w:r w:rsidRPr="00B900BA">
        <w:rPr>
          <w:rFonts w:ascii="MinionPro" w:eastAsia="Times New Roman" w:hAnsi="MinionPro" w:cs="Times New Roman"/>
          <w:sz w:val="18"/>
          <w:szCs w:val="18"/>
        </w:rPr>
        <w:br/>
        <w:t xml:space="preserve">• Sports activity sheets, such as for wrestling, showing weight and height of team members. </w:t>
      </w:r>
    </w:p>
    <w:p w:rsidR="00B900BA" w:rsidRPr="00B900BA" w:rsidRDefault="00B900BA" w:rsidP="004B5FF7">
      <w:p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as amended (ESEA) to provide military recruiters, upon request, with the following information – names, addresses and telephone listings – unless parents have advised the LEA that they do not want their scholar’s information disclosed without their prior written consent. </w:t>
      </w:r>
    </w:p>
    <w:p w:rsidR="00B900BA" w:rsidRPr="00B900BA" w:rsidRDefault="00B900BA" w:rsidP="004B5FF7">
      <w:p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If you do not want Scintilla Charter Academy to disclose any or all of the types of information </w:t>
      </w:r>
      <w:proofErr w:type="spellStart"/>
      <w:r w:rsidRPr="00B900BA">
        <w:rPr>
          <w:rFonts w:ascii="MinionPro" w:eastAsia="Times New Roman" w:hAnsi="MinionPro" w:cs="Times New Roman"/>
          <w:sz w:val="18"/>
          <w:szCs w:val="18"/>
        </w:rPr>
        <w:t>desig</w:t>
      </w:r>
      <w:proofErr w:type="spellEnd"/>
      <w:r w:rsidRPr="00B900BA">
        <w:rPr>
          <w:rFonts w:ascii="MinionPro" w:eastAsia="Times New Roman" w:hAnsi="MinionPro" w:cs="Times New Roman"/>
          <w:sz w:val="18"/>
          <w:szCs w:val="18"/>
        </w:rPr>
        <w:t xml:space="preserve">- </w:t>
      </w:r>
      <w:proofErr w:type="spellStart"/>
      <w:r w:rsidRPr="00B900BA">
        <w:rPr>
          <w:rFonts w:ascii="MinionPro" w:eastAsia="Times New Roman" w:hAnsi="MinionPro" w:cs="Times New Roman"/>
          <w:sz w:val="18"/>
          <w:szCs w:val="18"/>
        </w:rPr>
        <w:t>nated</w:t>
      </w:r>
      <w:proofErr w:type="spellEnd"/>
      <w:r w:rsidRPr="00B900BA">
        <w:rPr>
          <w:rFonts w:ascii="MinionPro" w:eastAsia="Times New Roman" w:hAnsi="MinionPro" w:cs="Times New Roman"/>
          <w:sz w:val="18"/>
          <w:szCs w:val="18"/>
        </w:rPr>
        <w:t xml:space="preserve"> below as directory information from your child’s education records without your prior written consent, you must notify the Scintilla Charter Academy in writing by September 30, 2018. Scintilla Charter Academy has designated the following information as directory information: </w:t>
      </w:r>
    </w:p>
    <w:p w:rsidR="00B900BA" w:rsidRPr="00B900BA" w:rsidRDefault="00B900BA" w:rsidP="004B5FF7">
      <w:p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Scholar’s name</w:t>
      </w:r>
      <w:r w:rsidRPr="00B900BA">
        <w:rPr>
          <w:rFonts w:ascii="MinionPro" w:eastAsia="Times New Roman" w:hAnsi="MinionPro" w:cs="Times New Roman"/>
          <w:sz w:val="18"/>
          <w:szCs w:val="18"/>
        </w:rPr>
        <w:br/>
        <w:t>• Address</w:t>
      </w:r>
      <w:r w:rsidRPr="00B900BA">
        <w:rPr>
          <w:rFonts w:ascii="MinionPro" w:eastAsia="Times New Roman" w:hAnsi="MinionPro" w:cs="Times New Roman"/>
          <w:sz w:val="18"/>
          <w:szCs w:val="18"/>
        </w:rPr>
        <w:br/>
        <w:t>• Telephone listing</w:t>
      </w:r>
      <w:r w:rsidRPr="00B900BA">
        <w:rPr>
          <w:rFonts w:ascii="MinionPro" w:eastAsia="Times New Roman" w:hAnsi="MinionPro" w:cs="Times New Roman"/>
          <w:sz w:val="18"/>
          <w:szCs w:val="18"/>
        </w:rPr>
        <w:br/>
        <w:t>• Electronic mail address • Photograph</w:t>
      </w:r>
      <w:r w:rsidRPr="00B900BA">
        <w:rPr>
          <w:rFonts w:ascii="MinionPro" w:eastAsia="Times New Roman" w:hAnsi="MinionPro" w:cs="Times New Roman"/>
          <w:sz w:val="18"/>
          <w:szCs w:val="18"/>
        </w:rPr>
        <w:br/>
        <w:t>• Date and place of birth • Major field of study</w:t>
      </w:r>
      <w:r w:rsidRPr="00B900BA">
        <w:rPr>
          <w:rFonts w:ascii="MinionPro" w:eastAsia="Times New Roman" w:hAnsi="MinionPro" w:cs="Times New Roman"/>
          <w:sz w:val="18"/>
          <w:szCs w:val="18"/>
        </w:rPr>
        <w:br/>
        <w:t>• Dates of attendance</w:t>
      </w:r>
      <w:r w:rsidRPr="00B900BA">
        <w:rPr>
          <w:rFonts w:ascii="MinionPro" w:eastAsia="Times New Roman" w:hAnsi="MinionPro" w:cs="Times New Roman"/>
          <w:sz w:val="18"/>
          <w:szCs w:val="18"/>
        </w:rPr>
        <w:br/>
        <w:t xml:space="preserve">• Grade level </w:t>
      </w:r>
      <w:r w:rsidR="004B5FF7">
        <w:rPr>
          <w:rFonts w:ascii="MinionPro" w:eastAsia="Times New Roman" w:hAnsi="MinionPro" w:cs="Times New Roman"/>
          <w:sz w:val="18"/>
          <w:szCs w:val="18"/>
        </w:rPr>
        <w:br/>
      </w:r>
      <w:r w:rsidRPr="00B900BA">
        <w:rPr>
          <w:rFonts w:ascii="MinionPro" w:eastAsia="Times New Roman" w:hAnsi="MinionPro" w:cs="Times New Roman"/>
          <w:sz w:val="18"/>
          <w:szCs w:val="18"/>
        </w:rPr>
        <w:t>• Participation in officially recognized activities and sports</w:t>
      </w:r>
      <w:r w:rsidRPr="00B900BA">
        <w:rPr>
          <w:rFonts w:ascii="MinionPro" w:eastAsia="Times New Roman" w:hAnsi="MinionPro" w:cs="Times New Roman"/>
          <w:sz w:val="18"/>
          <w:szCs w:val="18"/>
        </w:rPr>
        <w:br/>
        <w:t>• Weight and height of members of athletic teams</w:t>
      </w:r>
      <w:r w:rsidRPr="00B900BA">
        <w:rPr>
          <w:rFonts w:ascii="MinionPro" w:eastAsia="Times New Roman" w:hAnsi="MinionPro" w:cs="Times New Roman"/>
          <w:sz w:val="18"/>
          <w:szCs w:val="18"/>
        </w:rPr>
        <w:br/>
        <w:t>• Degrees, honors, and awards received</w:t>
      </w:r>
      <w:r w:rsidRPr="00B900BA">
        <w:rPr>
          <w:rFonts w:ascii="MinionPro" w:eastAsia="Times New Roman" w:hAnsi="MinionPro" w:cs="Times New Roman"/>
          <w:sz w:val="18"/>
          <w:szCs w:val="18"/>
        </w:rPr>
        <w:br/>
        <w:t>• The most recent educational agency or institution attended</w:t>
      </w:r>
      <w:r w:rsidRPr="00B900BA">
        <w:rPr>
          <w:rFonts w:ascii="MinionPro" w:eastAsia="Times New Roman" w:hAnsi="MinionPro" w:cs="Times New Roman"/>
          <w:sz w:val="18"/>
          <w:szCs w:val="18"/>
        </w:rPr>
        <w:br/>
        <w:t>• Scholar ID number, user ID, or other unique personal identifier used to communicate in electronic systems but only if the identifier cannot be used to gain access to education records except when used in conjunction with one or more factors that authenticate the user’s identity, such as a PIN, password, or other factor known or possessed only by the authorized user</w:t>
      </w:r>
      <w:r w:rsidR="004B5FF7">
        <w:rPr>
          <w:rFonts w:ascii="MinionPro" w:eastAsia="Times New Roman" w:hAnsi="MinionPro" w:cs="Times New Roman"/>
          <w:sz w:val="18"/>
          <w:szCs w:val="18"/>
        </w:rPr>
        <w:t>.</w:t>
      </w:r>
      <w:r w:rsidRPr="00B900BA">
        <w:rPr>
          <w:rFonts w:ascii="MinionPro" w:eastAsia="Times New Roman" w:hAnsi="MinionPro" w:cs="Times New Roman"/>
          <w:sz w:val="18"/>
          <w:szCs w:val="18"/>
        </w:rPr>
        <w:t xml:space="preserve">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lastRenderedPageBreak/>
        <w:t xml:space="preserve">• A scholar ID number or other unique personal identifier that is displayed on a scholar ID badge, but only if the identifier cannot be used to gain access to education records except when used in conjunction with one or more factors that authenticate the user’s identity, such as a PIN, password, or other factor known or possessed only by the authorized user.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b/>
          <w:bCs/>
          <w:sz w:val="18"/>
          <w:szCs w:val="18"/>
        </w:rPr>
        <w:t xml:space="preserve">PROTECTION OF PUPIL RIGHTS AMENDMENT (PPRA)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PPRA affords parents of elementary and secondary scholars certain rights regarding the conduct of surveys, collection and use of information for marketing purposes, and certain physical exams. These include, but are not limited to, the right to: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 </w:t>
      </w:r>
      <w:r w:rsidRPr="00B900BA">
        <w:rPr>
          <w:rFonts w:ascii="MinionPro" w:eastAsia="Times New Roman" w:hAnsi="MinionPro" w:cs="Times New Roman"/>
          <w:i/>
          <w:iCs/>
          <w:sz w:val="18"/>
          <w:szCs w:val="18"/>
        </w:rPr>
        <w:t xml:space="preserve">Consent </w:t>
      </w:r>
      <w:r w:rsidRPr="00B900BA">
        <w:rPr>
          <w:rFonts w:ascii="MinionPro" w:eastAsia="Times New Roman" w:hAnsi="MinionPro" w:cs="Times New Roman"/>
          <w:sz w:val="18"/>
          <w:szCs w:val="18"/>
        </w:rPr>
        <w:t xml:space="preserve">before scholars are required to submit to a survey that concerns one or more of the </w:t>
      </w:r>
      <w:proofErr w:type="gramStart"/>
      <w:r w:rsidRPr="00B900BA">
        <w:rPr>
          <w:rFonts w:ascii="MinionPro" w:eastAsia="Times New Roman" w:hAnsi="MinionPro" w:cs="Times New Roman"/>
          <w:sz w:val="18"/>
          <w:szCs w:val="18"/>
        </w:rPr>
        <w:t>follow</w:t>
      </w:r>
      <w:proofErr w:type="gramEnd"/>
      <w:r w:rsidRPr="00B900BA">
        <w:rPr>
          <w:rFonts w:ascii="MinionPro" w:eastAsia="Times New Roman" w:hAnsi="MinionPro" w:cs="Times New Roman"/>
          <w:sz w:val="18"/>
          <w:szCs w:val="18"/>
        </w:rPr>
        <w:t xml:space="preserve">- </w:t>
      </w:r>
      <w:proofErr w:type="spellStart"/>
      <w:r w:rsidRPr="00B900BA">
        <w:rPr>
          <w:rFonts w:ascii="MinionPro" w:eastAsia="Times New Roman" w:hAnsi="MinionPro" w:cs="Times New Roman"/>
          <w:sz w:val="18"/>
          <w:szCs w:val="18"/>
        </w:rPr>
        <w:t>ing</w:t>
      </w:r>
      <w:proofErr w:type="spellEnd"/>
      <w:r w:rsidRPr="00B900BA">
        <w:rPr>
          <w:rFonts w:ascii="MinionPro" w:eastAsia="Times New Roman" w:hAnsi="MinionPro" w:cs="Times New Roman"/>
          <w:sz w:val="18"/>
          <w:szCs w:val="18"/>
        </w:rPr>
        <w:t xml:space="preserve"> protected areas (“protected information survey”) if the survey is funded in whole or in part by a program of the U.S. Department of Education (ED)– </w:t>
      </w:r>
    </w:p>
    <w:p w:rsidR="00B900BA" w:rsidRPr="00B900BA" w:rsidRDefault="00B900BA" w:rsidP="00B900BA">
      <w:pPr>
        <w:numPr>
          <w:ilvl w:val="0"/>
          <w:numId w:val="6"/>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Political affiliations or beliefs of the scholar or scholar’s parent; </w:t>
      </w:r>
    </w:p>
    <w:p w:rsidR="00B900BA" w:rsidRPr="00B900BA" w:rsidRDefault="00B900BA" w:rsidP="00B900BA">
      <w:pPr>
        <w:numPr>
          <w:ilvl w:val="0"/>
          <w:numId w:val="6"/>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Mental or psychological problems of the scholar or scholar’s family; </w:t>
      </w:r>
    </w:p>
    <w:p w:rsidR="00B900BA" w:rsidRPr="00B900BA" w:rsidRDefault="00B900BA" w:rsidP="00B900BA">
      <w:pPr>
        <w:numPr>
          <w:ilvl w:val="0"/>
          <w:numId w:val="6"/>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Sex behavior or attitudes; </w:t>
      </w:r>
    </w:p>
    <w:p w:rsidR="00B900BA" w:rsidRPr="00B900BA" w:rsidRDefault="00B900BA" w:rsidP="00B900BA">
      <w:pPr>
        <w:numPr>
          <w:ilvl w:val="0"/>
          <w:numId w:val="6"/>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Illegal, anti-social, self-incriminating, or demeaning behavior; </w:t>
      </w:r>
    </w:p>
    <w:p w:rsidR="00B900BA" w:rsidRPr="00B900BA" w:rsidRDefault="00B900BA" w:rsidP="00B900BA">
      <w:pPr>
        <w:numPr>
          <w:ilvl w:val="0"/>
          <w:numId w:val="6"/>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Critical appraisals of others with whom respondents have close family relationships; </w:t>
      </w:r>
    </w:p>
    <w:p w:rsidR="00B900BA" w:rsidRPr="00B900BA" w:rsidRDefault="00B900BA" w:rsidP="00B900BA">
      <w:pPr>
        <w:numPr>
          <w:ilvl w:val="0"/>
          <w:numId w:val="6"/>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Legally recognized privileged relationships, such as with lawyers, doctors, or ministers; </w:t>
      </w:r>
    </w:p>
    <w:p w:rsidR="00B900BA" w:rsidRPr="00B900BA" w:rsidRDefault="00B900BA" w:rsidP="00B900BA">
      <w:pPr>
        <w:numPr>
          <w:ilvl w:val="0"/>
          <w:numId w:val="6"/>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Religious practices, affiliations, or beliefs of the scholar or scholar’s parent; or </w:t>
      </w:r>
    </w:p>
    <w:p w:rsidR="00B900BA" w:rsidRPr="00B900BA" w:rsidRDefault="00B900BA" w:rsidP="00B900BA">
      <w:pPr>
        <w:numPr>
          <w:ilvl w:val="0"/>
          <w:numId w:val="6"/>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Income, other than as required by law to determine program eligibility.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w:t>
      </w:r>
      <w:r w:rsidRPr="00B900BA">
        <w:rPr>
          <w:rFonts w:ascii="MinionPro" w:eastAsia="Times New Roman" w:hAnsi="MinionPro" w:cs="Times New Roman"/>
          <w:i/>
          <w:iCs/>
          <w:sz w:val="18"/>
          <w:szCs w:val="18"/>
        </w:rPr>
        <w:t xml:space="preserve">Receive notice and an opportunity to opt a scholar out of </w:t>
      </w:r>
      <w:r w:rsidRPr="00B900BA">
        <w:rPr>
          <w:rFonts w:ascii="MinionPro" w:eastAsia="Times New Roman" w:hAnsi="MinionPro" w:cs="Times New Roman"/>
          <w:sz w:val="18"/>
          <w:szCs w:val="18"/>
        </w:rPr>
        <w:t>–</w:t>
      </w:r>
      <w:r w:rsidRPr="00B900BA">
        <w:rPr>
          <w:rFonts w:ascii="MinionPro" w:eastAsia="Times New Roman" w:hAnsi="MinionPro" w:cs="Times New Roman"/>
          <w:sz w:val="18"/>
          <w:szCs w:val="18"/>
        </w:rPr>
        <w:br/>
        <w:t>1. Any other protected information survey, regardless of funding;</w:t>
      </w:r>
      <w:r w:rsidRPr="00B900BA">
        <w:rPr>
          <w:rFonts w:ascii="MinionPro" w:eastAsia="Times New Roman" w:hAnsi="MinionPro" w:cs="Times New Roman"/>
          <w:sz w:val="18"/>
          <w:szCs w:val="18"/>
        </w:rPr>
        <w:br/>
        <w:t xml:space="preserve">2. Any non-emergency, invasive physical exam or screening required as a condition of attendance, administered by the school or its agent, and not necessary to protect the immediate health and safety of a scholar, except for hearing, vision, or scoliosis screenings, or any physical exam or screening permitted or required under State law; and </w:t>
      </w:r>
      <w:r w:rsidR="004B5FF7">
        <w:rPr>
          <w:rFonts w:ascii="Times New Roman" w:eastAsia="Times New Roman" w:hAnsi="Times New Roman" w:cs="Times New Roman"/>
        </w:rPr>
        <w:br/>
      </w:r>
      <w:r w:rsidRPr="00B900BA">
        <w:rPr>
          <w:rFonts w:ascii="MinionPro" w:eastAsia="Times New Roman" w:hAnsi="MinionPro" w:cs="Times New Roman"/>
          <w:sz w:val="18"/>
          <w:szCs w:val="18"/>
        </w:rPr>
        <w:t>3. Activities involving collection, disclosure, or use of personal in</w:t>
      </w:r>
      <w:r w:rsidR="004B5FF7">
        <w:rPr>
          <w:rFonts w:ascii="MinionPro" w:eastAsia="Times New Roman" w:hAnsi="MinionPro" w:cs="Times New Roman"/>
          <w:sz w:val="18"/>
          <w:szCs w:val="18"/>
        </w:rPr>
        <w:t>formation collected from schol</w:t>
      </w:r>
      <w:r w:rsidRPr="00B900BA">
        <w:rPr>
          <w:rFonts w:ascii="MinionPro" w:eastAsia="Times New Roman" w:hAnsi="MinionPro" w:cs="Times New Roman"/>
          <w:sz w:val="18"/>
          <w:szCs w:val="18"/>
        </w:rPr>
        <w:t xml:space="preserve">ars for marketing or to sell or otherwise distribute the information to others. (This does not apply to the collection, disclosure, or use of personal information collected from scholars for the exclusive purpose of developing, evaluating, or providing educational products or services for, or to, scholars or educational institutions.)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w:t>
      </w:r>
      <w:r w:rsidRPr="00B900BA">
        <w:rPr>
          <w:rFonts w:ascii="MinionPro" w:eastAsia="Times New Roman" w:hAnsi="MinionPro" w:cs="Times New Roman"/>
          <w:i/>
          <w:iCs/>
          <w:sz w:val="18"/>
          <w:szCs w:val="18"/>
        </w:rPr>
        <w:t xml:space="preserve">Inspect, </w:t>
      </w:r>
      <w:r w:rsidRPr="00B900BA">
        <w:rPr>
          <w:rFonts w:ascii="MinionPro" w:eastAsia="Times New Roman" w:hAnsi="MinionPro" w:cs="Times New Roman"/>
          <w:sz w:val="18"/>
          <w:szCs w:val="18"/>
        </w:rPr>
        <w:t>upon request and before administration or use –</w:t>
      </w:r>
      <w:r w:rsidRPr="00B900BA">
        <w:rPr>
          <w:rFonts w:ascii="MinionPro" w:eastAsia="Times New Roman" w:hAnsi="MinionPro" w:cs="Times New Roman"/>
          <w:sz w:val="18"/>
          <w:szCs w:val="18"/>
        </w:rPr>
        <w:br/>
        <w:t>1. Protected information surveys of scholars and surveys created by a third party;</w:t>
      </w:r>
      <w:r w:rsidRPr="00B900BA">
        <w:rPr>
          <w:rFonts w:ascii="MinionPro" w:eastAsia="Times New Roman" w:hAnsi="MinionPro" w:cs="Times New Roman"/>
          <w:sz w:val="18"/>
          <w:szCs w:val="18"/>
        </w:rPr>
        <w:br/>
        <w:t>2. Instruments used to collect personal information from scholars for any of the above marketing, sales, or other distribution purposes; and</w:t>
      </w:r>
      <w:r w:rsidRPr="00B900BA">
        <w:rPr>
          <w:rFonts w:ascii="MinionPro" w:eastAsia="Times New Roman" w:hAnsi="MinionPro" w:cs="Times New Roman"/>
          <w:sz w:val="18"/>
          <w:szCs w:val="18"/>
        </w:rPr>
        <w:br/>
        <w:t xml:space="preserve">3. Instructional material used as part of the educational curriculum. </w:t>
      </w:r>
    </w:p>
    <w:p w:rsidR="00B900BA" w:rsidRPr="00B900BA" w:rsidRDefault="00B900BA" w:rsidP="004B5FF7">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These rights transfer from the parents to a scholar who is 18 years old or an emancipated minor under State law.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Scintilla Charter Academy will develop and adopt policies, in consultation with parents, regarding these rights, as well as arrangements to protect scholar privacy in the administration of protected information surveys and the collection, disclosure, or use of personal information for marketing, sales, or other distribution purposes. Scintilla Charter Academy will directly notify parents of these policies at least annually at the start of each school year and after any substantive changes. Scintilla Charter Academy will also directly notify, such as through U.S. Mail or email, parents of scholars who are scheduled to participate in the specific activities or surveys noted below and will provide an opportunity for the parent to opt his or her child out of participation of the specific activity or survey. Scintilla Charter Academy will make this notifi</w:t>
      </w:r>
      <w:r w:rsidR="004B5FF7">
        <w:rPr>
          <w:rFonts w:ascii="MinionPro" w:eastAsia="Times New Roman" w:hAnsi="MinionPro" w:cs="Times New Roman"/>
          <w:sz w:val="18"/>
          <w:szCs w:val="18"/>
        </w:rPr>
        <w:t>cation to parents at the begin</w:t>
      </w:r>
      <w:r w:rsidRPr="00B900BA">
        <w:rPr>
          <w:rFonts w:ascii="MinionPro" w:eastAsia="Times New Roman" w:hAnsi="MinionPro" w:cs="Times New Roman"/>
          <w:sz w:val="18"/>
          <w:szCs w:val="18"/>
        </w:rPr>
        <w:t>ning of the school year if the school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w:t>
      </w:r>
      <w:r w:rsidR="004B5FF7">
        <w:rPr>
          <w:rFonts w:ascii="MinionPro" w:eastAsia="Times New Roman" w:hAnsi="MinionPro" w:cs="Times New Roman"/>
          <w:sz w:val="18"/>
          <w:szCs w:val="18"/>
        </w:rPr>
        <w:t xml:space="preserve"> a list of the specific activi</w:t>
      </w:r>
      <w:r w:rsidRPr="00B900BA">
        <w:rPr>
          <w:rFonts w:ascii="MinionPro" w:eastAsia="Times New Roman" w:hAnsi="MinionPro" w:cs="Times New Roman"/>
          <w:sz w:val="18"/>
          <w:szCs w:val="18"/>
        </w:rPr>
        <w:t xml:space="preserve">ties and surveys covered under this direct notification requirement: </w:t>
      </w:r>
    </w:p>
    <w:p w:rsidR="00B900BA" w:rsidRPr="00B900BA" w:rsidRDefault="00B900BA" w:rsidP="00B900BA">
      <w:pPr>
        <w:numPr>
          <w:ilvl w:val="0"/>
          <w:numId w:val="7"/>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Collection, disclosure, or use of personal information collected from scholars for marketing, sales, or other distribution. </w:t>
      </w:r>
    </w:p>
    <w:p w:rsidR="00B900BA" w:rsidRPr="00B900BA" w:rsidRDefault="00B900BA" w:rsidP="00B900BA">
      <w:pPr>
        <w:numPr>
          <w:ilvl w:val="0"/>
          <w:numId w:val="7"/>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Administration of any protected information survey not funded in whole or in part by ED. </w:t>
      </w:r>
    </w:p>
    <w:p w:rsidR="00B900BA" w:rsidRPr="00B900BA" w:rsidRDefault="00B900BA" w:rsidP="00B900BA">
      <w:pPr>
        <w:numPr>
          <w:ilvl w:val="0"/>
          <w:numId w:val="7"/>
        </w:num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Any non-emergency, invasive physical examination or screening as described above. </w:t>
      </w:r>
    </w:p>
    <w:p w:rsidR="00B900BA" w:rsidRPr="00B900BA" w:rsidRDefault="00B900BA" w:rsidP="00B900BA">
      <w:pPr>
        <w:spacing w:before="100" w:beforeAutospacing="1" w:after="100" w:afterAutospacing="1"/>
        <w:ind w:left="720"/>
        <w:rPr>
          <w:rFonts w:ascii="MinionPro" w:eastAsia="Times New Roman" w:hAnsi="MinionPro" w:cs="Times New Roman"/>
          <w:sz w:val="18"/>
          <w:szCs w:val="18"/>
        </w:rPr>
      </w:pPr>
      <w:r w:rsidRPr="00B900BA">
        <w:rPr>
          <w:rFonts w:ascii="MinionPro" w:eastAsia="Times New Roman" w:hAnsi="MinionPro" w:cs="Times New Roman"/>
          <w:sz w:val="18"/>
          <w:szCs w:val="18"/>
        </w:rPr>
        <w:lastRenderedPageBreak/>
        <w:t xml:space="preserve">Parents who believe their rights have been violated may file a complaint with: </w:t>
      </w:r>
    </w:p>
    <w:p w:rsidR="00B900BA" w:rsidRPr="00B900BA" w:rsidRDefault="00B900BA" w:rsidP="00B900BA">
      <w:pPr>
        <w:spacing w:before="100" w:beforeAutospacing="1" w:after="100" w:afterAutospacing="1"/>
        <w:ind w:left="720"/>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Family Policy Compliance Office U.S. Department of Education 400 Maryland Avenue, SW Washington, D.C. 20202 </w:t>
      </w:r>
    </w:p>
    <w:p w:rsidR="00B900BA" w:rsidRPr="00B900BA" w:rsidRDefault="00B900BA" w:rsidP="004B5FF7">
      <w:pPr>
        <w:spacing w:before="100" w:beforeAutospacing="1" w:after="100" w:afterAutospacing="1"/>
        <w:ind w:left="270" w:hanging="270"/>
        <w:rPr>
          <w:rFonts w:ascii="MinionPro" w:eastAsia="Times New Roman" w:hAnsi="MinionPro" w:cs="Times New Roman"/>
          <w:sz w:val="18"/>
          <w:szCs w:val="18"/>
        </w:rPr>
      </w:pPr>
      <w:r w:rsidRPr="00B900BA">
        <w:rPr>
          <w:rFonts w:ascii="MinionPro" w:eastAsia="Times New Roman" w:hAnsi="MinionPro" w:cs="Times New Roman"/>
          <w:b/>
          <w:bCs/>
          <w:sz w:val="18"/>
          <w:szCs w:val="18"/>
        </w:rPr>
        <w:t xml:space="preserve">INFORMATION FOR HOMELESS STUDENTS </w:t>
      </w:r>
    </w:p>
    <w:p w:rsidR="00B900BA" w:rsidRPr="00B900BA" w:rsidRDefault="00B900BA" w:rsidP="004B5FF7">
      <w:pPr>
        <w:spacing w:before="100" w:beforeAutospacing="1" w:after="100" w:afterAutospacing="1"/>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The McKinney-Vento Homeless Assistance Act (the Act) ensures educational rights for children and youth experiencing homelessness. The primary goal is educational stability. The Act defines homeless students as those who lack a fixed, regular and adequate nighttime residence. This includes: </w:t>
      </w:r>
    </w:p>
    <w:p w:rsidR="00B900BA" w:rsidRPr="00B900BA" w:rsidRDefault="00B900BA" w:rsidP="004B5FF7">
      <w:pPr>
        <w:numPr>
          <w:ilvl w:val="0"/>
          <w:numId w:val="8"/>
        </w:numPr>
        <w:spacing w:before="100" w:beforeAutospacing="1" w:after="100" w:afterAutospacing="1"/>
        <w:ind w:left="270" w:hanging="270"/>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Children and youth who are forced to share the housing of other persons due to the loss of housing, economic hardship, or a similar reason; live in motels, </w:t>
      </w:r>
      <w:r w:rsidR="004B5FF7">
        <w:rPr>
          <w:rFonts w:ascii="MinionPro" w:eastAsia="Times New Roman" w:hAnsi="MinionPro" w:cs="Times New Roman"/>
          <w:sz w:val="18"/>
          <w:szCs w:val="18"/>
        </w:rPr>
        <w:t>hotels, trailer parks, or camp</w:t>
      </w:r>
      <w:r w:rsidRPr="00B900BA">
        <w:rPr>
          <w:rFonts w:ascii="MinionPro" w:eastAsia="Times New Roman" w:hAnsi="MinionPro" w:cs="Times New Roman"/>
          <w:sz w:val="18"/>
          <w:szCs w:val="18"/>
        </w:rPr>
        <w:t xml:space="preserve">ing grounds due to the lack of alternative adequate accommodations; live in emergency or transitional shelters; are abandoned in hospitals; or are awaiting foster care placement; </w:t>
      </w:r>
    </w:p>
    <w:p w:rsidR="00B900BA" w:rsidRPr="00B900BA" w:rsidRDefault="00B900BA" w:rsidP="004B5FF7">
      <w:pPr>
        <w:numPr>
          <w:ilvl w:val="0"/>
          <w:numId w:val="8"/>
        </w:numPr>
        <w:spacing w:before="100" w:beforeAutospacing="1" w:after="100" w:afterAutospacing="1"/>
        <w:ind w:left="270" w:hanging="270"/>
        <w:rPr>
          <w:rFonts w:ascii="MinionPro" w:eastAsia="Times New Roman" w:hAnsi="MinionPro" w:cs="Times New Roman"/>
          <w:sz w:val="18"/>
          <w:szCs w:val="18"/>
        </w:rPr>
      </w:pPr>
      <w:r w:rsidRPr="00B900BA">
        <w:rPr>
          <w:rFonts w:ascii="MinionPro" w:eastAsia="Times New Roman" w:hAnsi="MinionPro" w:cs="Times New Roman"/>
          <w:sz w:val="18"/>
          <w:szCs w:val="18"/>
        </w:rPr>
        <w:t>Children and youth who have a primary nighttime residence tha</w:t>
      </w:r>
      <w:r w:rsidR="004B5FF7">
        <w:rPr>
          <w:rFonts w:ascii="MinionPro" w:eastAsia="Times New Roman" w:hAnsi="MinionPro" w:cs="Times New Roman"/>
          <w:sz w:val="18"/>
          <w:szCs w:val="18"/>
        </w:rPr>
        <w:t>t is not designed for or ordin</w:t>
      </w:r>
      <w:r w:rsidRPr="00B900BA">
        <w:rPr>
          <w:rFonts w:ascii="MinionPro" w:eastAsia="Times New Roman" w:hAnsi="MinionPro" w:cs="Times New Roman"/>
          <w:sz w:val="18"/>
          <w:szCs w:val="18"/>
        </w:rPr>
        <w:t xml:space="preserve">arily used as regular sleeping accommodation for human beings; </w:t>
      </w:r>
    </w:p>
    <w:p w:rsidR="00B900BA" w:rsidRPr="00B900BA" w:rsidRDefault="00B900BA" w:rsidP="004B5FF7">
      <w:pPr>
        <w:numPr>
          <w:ilvl w:val="0"/>
          <w:numId w:val="8"/>
        </w:numPr>
        <w:spacing w:before="100" w:beforeAutospacing="1" w:after="100" w:afterAutospacing="1"/>
        <w:ind w:left="270" w:hanging="270"/>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Children and youth who live in cars, parks, public spaces, abandoned buildings, substandard housing, bus or train stations, or similar settings; or, </w:t>
      </w:r>
    </w:p>
    <w:p w:rsidR="00B900BA" w:rsidRPr="00B900BA" w:rsidRDefault="00B900BA" w:rsidP="004B5FF7">
      <w:pPr>
        <w:numPr>
          <w:ilvl w:val="0"/>
          <w:numId w:val="8"/>
        </w:numPr>
        <w:spacing w:before="100" w:beforeAutospacing="1" w:after="100" w:afterAutospacing="1"/>
        <w:ind w:left="270" w:hanging="270"/>
        <w:rPr>
          <w:rFonts w:ascii="MinionPro" w:eastAsia="Times New Roman" w:hAnsi="MinionPro" w:cs="Times New Roman"/>
          <w:sz w:val="18"/>
          <w:szCs w:val="18"/>
        </w:rPr>
      </w:pPr>
      <w:r w:rsidRPr="00B900BA">
        <w:rPr>
          <w:rFonts w:ascii="MinionPro" w:eastAsia="Times New Roman" w:hAnsi="MinionPro" w:cs="Times New Roman"/>
          <w:sz w:val="18"/>
          <w:szCs w:val="18"/>
        </w:rPr>
        <w:t xml:space="preserve">Migratory children are considered homeless when they are living in circumstances set forth in items 1, 2 and 3. Unaccompanied Youth are scholars who are not in the physical custody of a parent/guardian and are living in a homeless situation.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Homeless scholars have certain educational rights and can: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enroll without delay in school without proof of residency or permanent address, immu</w:t>
      </w:r>
      <w:r w:rsidR="004B5FF7">
        <w:rPr>
          <w:rFonts w:ascii="MinionPro" w:eastAsia="Times New Roman" w:hAnsi="MinionPro" w:cs="Times New Roman"/>
          <w:sz w:val="18"/>
          <w:szCs w:val="18"/>
        </w:rPr>
        <w:t>niza</w:t>
      </w:r>
      <w:r w:rsidRPr="00B900BA">
        <w:rPr>
          <w:rFonts w:ascii="MinionPro" w:eastAsia="Times New Roman" w:hAnsi="MinionPro" w:cs="Times New Roman"/>
          <w:sz w:val="18"/>
          <w:szCs w:val="18"/>
        </w:rPr>
        <w:t xml:space="preserve">tion, school records, or other documents or while </w:t>
      </w:r>
      <w:r w:rsidR="004B5FF7">
        <w:rPr>
          <w:rFonts w:ascii="MinionPro" w:eastAsia="Times New Roman" w:hAnsi="MinionPro" w:cs="Times New Roman"/>
          <w:sz w:val="18"/>
          <w:szCs w:val="18"/>
        </w:rPr>
        <w:t xml:space="preserve">documentation is being obtained </w:t>
      </w:r>
      <w:r w:rsidRPr="00B900BA">
        <w:rPr>
          <w:rFonts w:ascii="MinionPro" w:eastAsia="Times New Roman" w:hAnsi="MinionPro" w:cs="Times New Roman"/>
          <w:sz w:val="18"/>
          <w:szCs w:val="18"/>
        </w:rPr>
        <w:t xml:space="preserve">choose between the local school where they are living or the school last attended before be- coming homeless, when requested by the parent and determined by the district to be feasible and in the scholar’s best interest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 attend school and participate in school programs with children who are not homeless; and receive all the school services available to other scholars including transportation services, special educational services where applicable, and meals through the school meals programs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If you believe your child may qualify for assistance under this policy, please contact your child’s homeroom teacher or SCA’s Homeless Liaison: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Amanda Miller, SCA Homeless Liaison</w:t>
      </w:r>
      <w:r w:rsidRPr="00B900BA">
        <w:rPr>
          <w:rFonts w:ascii="MinionPro" w:eastAsia="Times New Roman" w:hAnsi="MinionPro" w:cs="Times New Roman"/>
          <w:sz w:val="18"/>
          <w:szCs w:val="18"/>
        </w:rPr>
        <w:br/>
        <w:t xml:space="preserve">Sarah </w:t>
      </w:r>
      <w:proofErr w:type="spellStart"/>
      <w:r w:rsidRPr="00B900BA">
        <w:rPr>
          <w:rFonts w:ascii="MinionPro" w:eastAsia="Times New Roman" w:hAnsi="MinionPro" w:cs="Times New Roman"/>
          <w:sz w:val="18"/>
          <w:szCs w:val="18"/>
        </w:rPr>
        <w:t>Ruddle</w:t>
      </w:r>
      <w:proofErr w:type="spellEnd"/>
      <w:r w:rsidRPr="00B900BA">
        <w:rPr>
          <w:rFonts w:ascii="MinionPro" w:eastAsia="Times New Roman" w:hAnsi="MinionPro" w:cs="Times New Roman"/>
          <w:sz w:val="18"/>
          <w:szCs w:val="18"/>
        </w:rPr>
        <w:t>, SCA Character and Culture Coordinator 2171 East Park Avenue</w:t>
      </w:r>
      <w:r w:rsidRPr="00B900BA">
        <w:rPr>
          <w:rFonts w:ascii="MinionPro" w:eastAsia="Times New Roman" w:hAnsi="MinionPro" w:cs="Times New Roman"/>
          <w:sz w:val="18"/>
          <w:szCs w:val="18"/>
        </w:rPr>
        <w:br/>
        <w:t>Valdosta, GA 31602</w:t>
      </w:r>
      <w:r w:rsidRPr="00B900BA">
        <w:rPr>
          <w:rFonts w:ascii="MinionPro" w:eastAsia="Times New Roman" w:hAnsi="MinionPro" w:cs="Times New Roman"/>
          <w:sz w:val="18"/>
          <w:szCs w:val="18"/>
        </w:rPr>
        <w:br/>
        <w:t>Phone: 229.244.5750</w:t>
      </w:r>
      <w:r w:rsidRPr="00B900BA">
        <w:rPr>
          <w:rFonts w:ascii="MinionPro" w:eastAsia="Times New Roman" w:hAnsi="MinionPro" w:cs="Times New Roman"/>
          <w:sz w:val="18"/>
          <w:szCs w:val="18"/>
        </w:rPr>
        <w:br/>
        <w:t>Fax: 229.333.0283</w:t>
      </w:r>
      <w:r w:rsidRPr="00B900BA">
        <w:rPr>
          <w:rFonts w:ascii="MinionPro" w:eastAsia="Times New Roman" w:hAnsi="MinionPro" w:cs="Times New Roman"/>
          <w:sz w:val="18"/>
          <w:szCs w:val="18"/>
        </w:rPr>
        <w:br/>
        <w:t xml:space="preserve">Email: sruddle@scintillacharteracademy.com </w:t>
      </w:r>
    </w:p>
    <w:p w:rsidR="00B900BA" w:rsidRPr="00B900BA" w:rsidRDefault="00B900BA" w:rsidP="00B900BA">
      <w:pPr>
        <w:spacing w:before="100" w:beforeAutospacing="1" w:after="100" w:afterAutospacing="1"/>
        <w:rPr>
          <w:rFonts w:ascii="Times New Roman" w:eastAsia="Times New Roman" w:hAnsi="Times New Roman" w:cs="Times New Roman"/>
        </w:rPr>
      </w:pPr>
      <w:bookmarkStart w:id="0" w:name="_GoBack"/>
      <w:r w:rsidRPr="00B900BA">
        <w:rPr>
          <w:rFonts w:ascii="MinionPro" w:eastAsia="Times New Roman" w:hAnsi="MinionPro" w:cs="Times New Roman"/>
          <w:b/>
          <w:bCs/>
          <w:sz w:val="18"/>
          <w:szCs w:val="18"/>
        </w:rPr>
        <w:t xml:space="preserve">TITLE IX GRIEVANCE POLICY </w:t>
      </w:r>
    </w:p>
    <w:bookmarkEnd w:id="0"/>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Scholars, parents, and applicants for admission have the right to file a formal complaint alleging noncompliance with regulations outlined in Title IX of the Education Amendments of 1972 as follows: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Level 1: Principal or Immediate Supervisor</w:t>
      </w:r>
      <w:r w:rsidRPr="00B900BA">
        <w:rPr>
          <w:rFonts w:ascii="MinionPro" w:eastAsia="Times New Roman" w:hAnsi="MinionPro" w:cs="Times New Roman"/>
          <w:sz w:val="18"/>
          <w:szCs w:val="18"/>
        </w:rPr>
        <w:br/>
        <w:t xml:space="preserve">A scholar or parent with a sex discrimination complaint may discuss it with the teacher, counselor, or building administrator involved. Level 1 of the grievance procedure is informal and optional and may be bypassed by the grievant.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Level 2: Title IX and Section 504 Coordinator</w:t>
      </w:r>
      <w:r w:rsidRPr="00B900BA">
        <w:rPr>
          <w:rFonts w:ascii="MinionPro" w:eastAsia="Times New Roman" w:hAnsi="MinionPro" w:cs="Times New Roman"/>
          <w:sz w:val="18"/>
          <w:szCs w:val="18"/>
        </w:rPr>
        <w:br/>
        <w:t xml:space="preserve">If the grievance is not resolved at Level 1 and the grievant wishes to pursue the grievance, it may be formalized by filing a complaint in writing on a Compliance Violation Form. This form may be obtained from the Title IX and Section 504 Coordinator.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lastRenderedPageBreak/>
        <w:t xml:space="preserve">The complaint shall state the nature of the grievance and the remedy requested. The filing of the formal, written complaint at Level 2 must be within fifteen (15) working days from the day of the event giving rise to the grievance or from the date the grievant could reasonably become aware of such an occurrence. The grievant may request that a meeting concerning the complaint be held with the Title IX and Section 504 Coordinator. A minor scholar </w:t>
      </w:r>
      <w:r w:rsidR="004B5FF7">
        <w:rPr>
          <w:rFonts w:ascii="MinionPro" w:eastAsia="Times New Roman" w:hAnsi="MinionPro" w:cs="Times New Roman"/>
          <w:sz w:val="18"/>
          <w:szCs w:val="18"/>
        </w:rPr>
        <w:t>may be accompanied at that meet</w:t>
      </w:r>
      <w:r w:rsidRPr="00B900BA">
        <w:rPr>
          <w:rFonts w:ascii="MinionPro" w:eastAsia="Times New Roman" w:hAnsi="MinionPro" w:cs="Times New Roman"/>
          <w:sz w:val="18"/>
          <w:szCs w:val="18"/>
        </w:rPr>
        <w:t xml:space="preserve">ing by a parent or guardian. The Title IX and Section 504 Coordinator shall investigate the com- plaint and attempt to solve it. A written report from the Compliance Officer to the complainant regarding action taken will be sent within fifteen (15) working days after receipt of the complaint.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Level 3: Dean</w:t>
      </w:r>
      <w:r w:rsidRPr="00B900BA">
        <w:rPr>
          <w:rFonts w:ascii="MinionPro" w:eastAsia="Times New Roman" w:hAnsi="MinionPro" w:cs="Times New Roman"/>
          <w:sz w:val="18"/>
          <w:szCs w:val="18"/>
        </w:rPr>
        <w:br/>
        <w:t xml:space="preserve">If the complaint is not resolved at Level 2, the grievant may proceed to Level 3 by presenting a written appeal to the Dean within ten (10) working days after the grievant receives the report from the Title IX and Section 504 Coordinator. The grievant may request a meeting with the Dean or his/her designee. The Dean or his/her designee has the option of meeting with the grievant to discuss the appeal. A decision will be rendered by the Dean or his/her designee within ten (10) working days after receiving the written appeal.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Level 4: Governing Board</w:t>
      </w:r>
      <w:r w:rsidRPr="00B900BA">
        <w:rPr>
          <w:rFonts w:ascii="MinionPro" w:eastAsia="Times New Roman" w:hAnsi="MinionPro" w:cs="Times New Roman"/>
          <w:sz w:val="18"/>
          <w:szCs w:val="18"/>
        </w:rPr>
        <w:br/>
        <w:t xml:space="preserve">If the complaint is not resolved at Level 3, the grievant may proceed to Level 4 by presenting a written appeal to the Chair of the SCA Governing Board within ten (10) working days after the grievant receives the report from the Dean. The grievant may request a meeting with the Board. </w:t>
      </w:r>
    </w:p>
    <w:p w:rsidR="00B900BA" w:rsidRPr="00B900BA" w:rsidRDefault="00B900BA" w:rsidP="00B900BA">
      <w:pPr>
        <w:spacing w:before="100" w:beforeAutospacing="1" w:after="100" w:afterAutospacing="1"/>
        <w:rPr>
          <w:rFonts w:ascii="Times New Roman" w:eastAsia="Times New Roman" w:hAnsi="Times New Roman" w:cs="Times New Roman"/>
        </w:rPr>
      </w:pPr>
      <w:r w:rsidRPr="00B900BA">
        <w:rPr>
          <w:rFonts w:ascii="MinionPro" w:eastAsia="Times New Roman" w:hAnsi="MinionPro" w:cs="Times New Roman"/>
          <w:sz w:val="18"/>
          <w:szCs w:val="18"/>
        </w:rPr>
        <w:t xml:space="preserve">The Board has the option of meeting with the grievant to discuss the appeal. A decision will be rendered by the Board at their next regularly scheduled meeting. The grievant will be notified in writing of the decision within ten (10) working days after the Board’s action. The procedure in no way denies the right of the grievant to file a formal complaint with the Office for Civil Rights, or other agencies available for mediation or rectification of rights grievances, or to seek private counsel for complaints alleging discrimination. </w:t>
      </w:r>
    </w:p>
    <w:p w:rsidR="00DD04FB" w:rsidRDefault="00DD04FB"/>
    <w:sectPr w:rsidR="00DD04FB" w:rsidSect="0094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rseCasualRegular">
    <w:altName w:val="Cambria"/>
    <w:panose1 w:val="020B0604020202020204"/>
    <w:charset w:val="00"/>
    <w:family w:val="roman"/>
    <w:pitch w:val="default"/>
  </w:font>
  <w:font w:name="MinionPro">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007"/>
    <w:multiLevelType w:val="multilevel"/>
    <w:tmpl w:val="D2B2AA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17F92"/>
    <w:multiLevelType w:val="multilevel"/>
    <w:tmpl w:val="B602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C198C"/>
    <w:multiLevelType w:val="multilevel"/>
    <w:tmpl w:val="6B6E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379AE"/>
    <w:multiLevelType w:val="multilevel"/>
    <w:tmpl w:val="B58C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314D7"/>
    <w:multiLevelType w:val="multilevel"/>
    <w:tmpl w:val="7FE0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5724B1"/>
    <w:multiLevelType w:val="hybridMultilevel"/>
    <w:tmpl w:val="2AF0AF5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C76CE"/>
    <w:multiLevelType w:val="multilevel"/>
    <w:tmpl w:val="33521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FF53CE"/>
    <w:multiLevelType w:val="hybridMultilevel"/>
    <w:tmpl w:val="F1D4EC3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F57D0"/>
    <w:multiLevelType w:val="hybridMultilevel"/>
    <w:tmpl w:val="2F5A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012F4"/>
    <w:multiLevelType w:val="multilevel"/>
    <w:tmpl w:val="7B9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6F0D1B"/>
    <w:multiLevelType w:val="multilevel"/>
    <w:tmpl w:val="0F3A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10"/>
  </w:num>
  <w:num w:numId="5">
    <w:abstractNumId w:val="2"/>
  </w:num>
  <w:num w:numId="6">
    <w:abstractNumId w:val="4"/>
  </w:num>
  <w:num w:numId="7">
    <w:abstractNumId w:val="9"/>
  </w:num>
  <w:num w:numId="8">
    <w:abstractNumId w:val="1"/>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BA"/>
    <w:rsid w:val="004B5FF7"/>
    <w:rsid w:val="005A2325"/>
    <w:rsid w:val="00941C39"/>
    <w:rsid w:val="00B900BA"/>
    <w:rsid w:val="00DD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3870B"/>
  <w15:chartTrackingRefBased/>
  <w15:docId w15:val="{182442AE-52AB-904E-ABD6-5C11284C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0B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90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8837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294">
          <w:marLeft w:val="0"/>
          <w:marRight w:val="0"/>
          <w:marTop w:val="0"/>
          <w:marBottom w:val="0"/>
          <w:divBdr>
            <w:top w:val="none" w:sz="0" w:space="0" w:color="auto"/>
            <w:left w:val="none" w:sz="0" w:space="0" w:color="auto"/>
            <w:bottom w:val="none" w:sz="0" w:space="0" w:color="auto"/>
            <w:right w:val="none" w:sz="0" w:space="0" w:color="auto"/>
          </w:divBdr>
          <w:divsChild>
            <w:div w:id="171915160">
              <w:marLeft w:val="0"/>
              <w:marRight w:val="0"/>
              <w:marTop w:val="0"/>
              <w:marBottom w:val="0"/>
              <w:divBdr>
                <w:top w:val="none" w:sz="0" w:space="0" w:color="auto"/>
                <w:left w:val="none" w:sz="0" w:space="0" w:color="auto"/>
                <w:bottom w:val="none" w:sz="0" w:space="0" w:color="auto"/>
                <w:right w:val="none" w:sz="0" w:space="0" w:color="auto"/>
              </w:divBdr>
              <w:divsChild>
                <w:div w:id="1984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92424">
          <w:marLeft w:val="0"/>
          <w:marRight w:val="0"/>
          <w:marTop w:val="0"/>
          <w:marBottom w:val="0"/>
          <w:divBdr>
            <w:top w:val="none" w:sz="0" w:space="0" w:color="auto"/>
            <w:left w:val="none" w:sz="0" w:space="0" w:color="auto"/>
            <w:bottom w:val="none" w:sz="0" w:space="0" w:color="auto"/>
            <w:right w:val="none" w:sz="0" w:space="0" w:color="auto"/>
          </w:divBdr>
          <w:divsChild>
            <w:div w:id="1064370888">
              <w:marLeft w:val="0"/>
              <w:marRight w:val="0"/>
              <w:marTop w:val="0"/>
              <w:marBottom w:val="0"/>
              <w:divBdr>
                <w:top w:val="none" w:sz="0" w:space="0" w:color="auto"/>
                <w:left w:val="none" w:sz="0" w:space="0" w:color="auto"/>
                <w:bottom w:val="none" w:sz="0" w:space="0" w:color="auto"/>
                <w:right w:val="none" w:sz="0" w:space="0" w:color="auto"/>
              </w:divBdr>
              <w:divsChild>
                <w:div w:id="48848374">
                  <w:marLeft w:val="0"/>
                  <w:marRight w:val="0"/>
                  <w:marTop w:val="0"/>
                  <w:marBottom w:val="0"/>
                  <w:divBdr>
                    <w:top w:val="none" w:sz="0" w:space="0" w:color="auto"/>
                    <w:left w:val="none" w:sz="0" w:space="0" w:color="auto"/>
                    <w:bottom w:val="none" w:sz="0" w:space="0" w:color="auto"/>
                    <w:right w:val="none" w:sz="0" w:space="0" w:color="auto"/>
                  </w:divBdr>
                </w:div>
              </w:divsChild>
            </w:div>
            <w:div w:id="1355839922">
              <w:marLeft w:val="0"/>
              <w:marRight w:val="0"/>
              <w:marTop w:val="0"/>
              <w:marBottom w:val="0"/>
              <w:divBdr>
                <w:top w:val="none" w:sz="0" w:space="0" w:color="auto"/>
                <w:left w:val="none" w:sz="0" w:space="0" w:color="auto"/>
                <w:bottom w:val="none" w:sz="0" w:space="0" w:color="auto"/>
                <w:right w:val="none" w:sz="0" w:space="0" w:color="auto"/>
              </w:divBdr>
              <w:divsChild>
                <w:div w:id="7122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1374">
          <w:marLeft w:val="0"/>
          <w:marRight w:val="0"/>
          <w:marTop w:val="0"/>
          <w:marBottom w:val="0"/>
          <w:divBdr>
            <w:top w:val="none" w:sz="0" w:space="0" w:color="auto"/>
            <w:left w:val="none" w:sz="0" w:space="0" w:color="auto"/>
            <w:bottom w:val="none" w:sz="0" w:space="0" w:color="auto"/>
            <w:right w:val="none" w:sz="0" w:space="0" w:color="auto"/>
          </w:divBdr>
          <w:divsChild>
            <w:div w:id="1172186428">
              <w:marLeft w:val="0"/>
              <w:marRight w:val="0"/>
              <w:marTop w:val="0"/>
              <w:marBottom w:val="0"/>
              <w:divBdr>
                <w:top w:val="none" w:sz="0" w:space="0" w:color="auto"/>
                <w:left w:val="none" w:sz="0" w:space="0" w:color="auto"/>
                <w:bottom w:val="none" w:sz="0" w:space="0" w:color="auto"/>
                <w:right w:val="none" w:sz="0" w:space="0" w:color="auto"/>
              </w:divBdr>
              <w:divsChild>
                <w:div w:id="415595630">
                  <w:marLeft w:val="0"/>
                  <w:marRight w:val="0"/>
                  <w:marTop w:val="0"/>
                  <w:marBottom w:val="0"/>
                  <w:divBdr>
                    <w:top w:val="none" w:sz="0" w:space="0" w:color="auto"/>
                    <w:left w:val="none" w:sz="0" w:space="0" w:color="auto"/>
                    <w:bottom w:val="none" w:sz="0" w:space="0" w:color="auto"/>
                    <w:right w:val="none" w:sz="0" w:space="0" w:color="auto"/>
                  </w:divBdr>
                </w:div>
              </w:divsChild>
            </w:div>
            <w:div w:id="379980147">
              <w:marLeft w:val="0"/>
              <w:marRight w:val="0"/>
              <w:marTop w:val="0"/>
              <w:marBottom w:val="0"/>
              <w:divBdr>
                <w:top w:val="none" w:sz="0" w:space="0" w:color="auto"/>
                <w:left w:val="none" w:sz="0" w:space="0" w:color="auto"/>
                <w:bottom w:val="none" w:sz="0" w:space="0" w:color="auto"/>
                <w:right w:val="none" w:sz="0" w:space="0" w:color="auto"/>
              </w:divBdr>
              <w:divsChild>
                <w:div w:id="2089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6708">
          <w:marLeft w:val="0"/>
          <w:marRight w:val="0"/>
          <w:marTop w:val="0"/>
          <w:marBottom w:val="0"/>
          <w:divBdr>
            <w:top w:val="none" w:sz="0" w:space="0" w:color="auto"/>
            <w:left w:val="none" w:sz="0" w:space="0" w:color="auto"/>
            <w:bottom w:val="none" w:sz="0" w:space="0" w:color="auto"/>
            <w:right w:val="none" w:sz="0" w:space="0" w:color="auto"/>
          </w:divBdr>
          <w:divsChild>
            <w:div w:id="386610942">
              <w:marLeft w:val="0"/>
              <w:marRight w:val="0"/>
              <w:marTop w:val="0"/>
              <w:marBottom w:val="0"/>
              <w:divBdr>
                <w:top w:val="none" w:sz="0" w:space="0" w:color="auto"/>
                <w:left w:val="none" w:sz="0" w:space="0" w:color="auto"/>
                <w:bottom w:val="none" w:sz="0" w:space="0" w:color="auto"/>
                <w:right w:val="none" w:sz="0" w:space="0" w:color="auto"/>
              </w:divBdr>
              <w:divsChild>
                <w:div w:id="672413524">
                  <w:marLeft w:val="0"/>
                  <w:marRight w:val="0"/>
                  <w:marTop w:val="0"/>
                  <w:marBottom w:val="0"/>
                  <w:divBdr>
                    <w:top w:val="none" w:sz="0" w:space="0" w:color="auto"/>
                    <w:left w:val="none" w:sz="0" w:space="0" w:color="auto"/>
                    <w:bottom w:val="none" w:sz="0" w:space="0" w:color="auto"/>
                    <w:right w:val="none" w:sz="0" w:space="0" w:color="auto"/>
                  </w:divBdr>
                </w:div>
              </w:divsChild>
            </w:div>
            <w:div w:id="993526030">
              <w:marLeft w:val="0"/>
              <w:marRight w:val="0"/>
              <w:marTop w:val="0"/>
              <w:marBottom w:val="0"/>
              <w:divBdr>
                <w:top w:val="none" w:sz="0" w:space="0" w:color="auto"/>
                <w:left w:val="none" w:sz="0" w:space="0" w:color="auto"/>
                <w:bottom w:val="none" w:sz="0" w:space="0" w:color="auto"/>
                <w:right w:val="none" w:sz="0" w:space="0" w:color="auto"/>
              </w:divBdr>
              <w:divsChild>
                <w:div w:id="9147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826">
          <w:marLeft w:val="0"/>
          <w:marRight w:val="0"/>
          <w:marTop w:val="0"/>
          <w:marBottom w:val="0"/>
          <w:divBdr>
            <w:top w:val="none" w:sz="0" w:space="0" w:color="auto"/>
            <w:left w:val="none" w:sz="0" w:space="0" w:color="auto"/>
            <w:bottom w:val="none" w:sz="0" w:space="0" w:color="auto"/>
            <w:right w:val="none" w:sz="0" w:space="0" w:color="auto"/>
          </w:divBdr>
          <w:divsChild>
            <w:div w:id="1787188213">
              <w:marLeft w:val="0"/>
              <w:marRight w:val="0"/>
              <w:marTop w:val="0"/>
              <w:marBottom w:val="0"/>
              <w:divBdr>
                <w:top w:val="none" w:sz="0" w:space="0" w:color="auto"/>
                <w:left w:val="none" w:sz="0" w:space="0" w:color="auto"/>
                <w:bottom w:val="none" w:sz="0" w:space="0" w:color="auto"/>
                <w:right w:val="none" w:sz="0" w:space="0" w:color="auto"/>
              </w:divBdr>
              <w:divsChild>
                <w:div w:id="835194216">
                  <w:marLeft w:val="0"/>
                  <w:marRight w:val="0"/>
                  <w:marTop w:val="0"/>
                  <w:marBottom w:val="0"/>
                  <w:divBdr>
                    <w:top w:val="none" w:sz="0" w:space="0" w:color="auto"/>
                    <w:left w:val="none" w:sz="0" w:space="0" w:color="auto"/>
                    <w:bottom w:val="none" w:sz="0" w:space="0" w:color="auto"/>
                    <w:right w:val="none" w:sz="0" w:space="0" w:color="auto"/>
                  </w:divBdr>
                </w:div>
              </w:divsChild>
            </w:div>
            <w:div w:id="1361394554">
              <w:marLeft w:val="0"/>
              <w:marRight w:val="0"/>
              <w:marTop w:val="0"/>
              <w:marBottom w:val="0"/>
              <w:divBdr>
                <w:top w:val="none" w:sz="0" w:space="0" w:color="auto"/>
                <w:left w:val="none" w:sz="0" w:space="0" w:color="auto"/>
                <w:bottom w:val="none" w:sz="0" w:space="0" w:color="auto"/>
                <w:right w:val="none" w:sz="0" w:space="0" w:color="auto"/>
              </w:divBdr>
              <w:divsChild>
                <w:div w:id="251403785">
                  <w:marLeft w:val="0"/>
                  <w:marRight w:val="0"/>
                  <w:marTop w:val="0"/>
                  <w:marBottom w:val="0"/>
                  <w:divBdr>
                    <w:top w:val="none" w:sz="0" w:space="0" w:color="auto"/>
                    <w:left w:val="none" w:sz="0" w:space="0" w:color="auto"/>
                    <w:bottom w:val="none" w:sz="0" w:space="0" w:color="auto"/>
                    <w:right w:val="none" w:sz="0" w:space="0" w:color="auto"/>
                  </w:divBdr>
                </w:div>
              </w:divsChild>
            </w:div>
            <w:div w:id="1556509954">
              <w:marLeft w:val="0"/>
              <w:marRight w:val="0"/>
              <w:marTop w:val="0"/>
              <w:marBottom w:val="0"/>
              <w:divBdr>
                <w:top w:val="none" w:sz="0" w:space="0" w:color="auto"/>
                <w:left w:val="none" w:sz="0" w:space="0" w:color="auto"/>
                <w:bottom w:val="none" w:sz="0" w:space="0" w:color="auto"/>
                <w:right w:val="none" w:sz="0" w:space="0" w:color="auto"/>
              </w:divBdr>
              <w:divsChild>
                <w:div w:id="11740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4633">
          <w:marLeft w:val="0"/>
          <w:marRight w:val="0"/>
          <w:marTop w:val="0"/>
          <w:marBottom w:val="0"/>
          <w:divBdr>
            <w:top w:val="none" w:sz="0" w:space="0" w:color="auto"/>
            <w:left w:val="none" w:sz="0" w:space="0" w:color="auto"/>
            <w:bottom w:val="none" w:sz="0" w:space="0" w:color="auto"/>
            <w:right w:val="none" w:sz="0" w:space="0" w:color="auto"/>
          </w:divBdr>
          <w:divsChild>
            <w:div w:id="360278731">
              <w:marLeft w:val="0"/>
              <w:marRight w:val="0"/>
              <w:marTop w:val="0"/>
              <w:marBottom w:val="0"/>
              <w:divBdr>
                <w:top w:val="none" w:sz="0" w:space="0" w:color="auto"/>
                <w:left w:val="none" w:sz="0" w:space="0" w:color="auto"/>
                <w:bottom w:val="none" w:sz="0" w:space="0" w:color="auto"/>
                <w:right w:val="none" w:sz="0" w:space="0" w:color="auto"/>
              </w:divBdr>
              <w:divsChild>
                <w:div w:id="1701395284">
                  <w:marLeft w:val="0"/>
                  <w:marRight w:val="0"/>
                  <w:marTop w:val="0"/>
                  <w:marBottom w:val="0"/>
                  <w:divBdr>
                    <w:top w:val="none" w:sz="0" w:space="0" w:color="auto"/>
                    <w:left w:val="none" w:sz="0" w:space="0" w:color="auto"/>
                    <w:bottom w:val="none" w:sz="0" w:space="0" w:color="auto"/>
                    <w:right w:val="none" w:sz="0" w:space="0" w:color="auto"/>
                  </w:divBdr>
                </w:div>
              </w:divsChild>
            </w:div>
            <w:div w:id="557740541">
              <w:marLeft w:val="0"/>
              <w:marRight w:val="0"/>
              <w:marTop w:val="0"/>
              <w:marBottom w:val="0"/>
              <w:divBdr>
                <w:top w:val="none" w:sz="0" w:space="0" w:color="auto"/>
                <w:left w:val="none" w:sz="0" w:space="0" w:color="auto"/>
                <w:bottom w:val="none" w:sz="0" w:space="0" w:color="auto"/>
                <w:right w:val="none" w:sz="0" w:space="0" w:color="auto"/>
              </w:divBdr>
              <w:divsChild>
                <w:div w:id="1407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2927">
          <w:marLeft w:val="0"/>
          <w:marRight w:val="0"/>
          <w:marTop w:val="0"/>
          <w:marBottom w:val="0"/>
          <w:divBdr>
            <w:top w:val="none" w:sz="0" w:space="0" w:color="auto"/>
            <w:left w:val="none" w:sz="0" w:space="0" w:color="auto"/>
            <w:bottom w:val="none" w:sz="0" w:space="0" w:color="auto"/>
            <w:right w:val="none" w:sz="0" w:space="0" w:color="auto"/>
          </w:divBdr>
          <w:divsChild>
            <w:div w:id="100228735">
              <w:marLeft w:val="0"/>
              <w:marRight w:val="0"/>
              <w:marTop w:val="0"/>
              <w:marBottom w:val="0"/>
              <w:divBdr>
                <w:top w:val="none" w:sz="0" w:space="0" w:color="auto"/>
                <w:left w:val="none" w:sz="0" w:space="0" w:color="auto"/>
                <w:bottom w:val="none" w:sz="0" w:space="0" w:color="auto"/>
                <w:right w:val="none" w:sz="0" w:space="0" w:color="auto"/>
              </w:divBdr>
              <w:divsChild>
                <w:div w:id="1317300492">
                  <w:marLeft w:val="0"/>
                  <w:marRight w:val="0"/>
                  <w:marTop w:val="0"/>
                  <w:marBottom w:val="0"/>
                  <w:divBdr>
                    <w:top w:val="none" w:sz="0" w:space="0" w:color="auto"/>
                    <w:left w:val="none" w:sz="0" w:space="0" w:color="auto"/>
                    <w:bottom w:val="none" w:sz="0" w:space="0" w:color="auto"/>
                    <w:right w:val="none" w:sz="0" w:space="0" w:color="auto"/>
                  </w:divBdr>
                </w:div>
              </w:divsChild>
            </w:div>
            <w:div w:id="1575553196">
              <w:marLeft w:val="0"/>
              <w:marRight w:val="0"/>
              <w:marTop w:val="0"/>
              <w:marBottom w:val="0"/>
              <w:divBdr>
                <w:top w:val="none" w:sz="0" w:space="0" w:color="auto"/>
                <w:left w:val="none" w:sz="0" w:space="0" w:color="auto"/>
                <w:bottom w:val="none" w:sz="0" w:space="0" w:color="auto"/>
                <w:right w:val="none" w:sz="0" w:space="0" w:color="auto"/>
              </w:divBdr>
              <w:divsChild>
                <w:div w:id="1323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3439">
          <w:marLeft w:val="0"/>
          <w:marRight w:val="0"/>
          <w:marTop w:val="0"/>
          <w:marBottom w:val="0"/>
          <w:divBdr>
            <w:top w:val="none" w:sz="0" w:space="0" w:color="auto"/>
            <w:left w:val="none" w:sz="0" w:space="0" w:color="auto"/>
            <w:bottom w:val="none" w:sz="0" w:space="0" w:color="auto"/>
            <w:right w:val="none" w:sz="0" w:space="0" w:color="auto"/>
          </w:divBdr>
          <w:divsChild>
            <w:div w:id="464081450">
              <w:marLeft w:val="0"/>
              <w:marRight w:val="0"/>
              <w:marTop w:val="0"/>
              <w:marBottom w:val="0"/>
              <w:divBdr>
                <w:top w:val="none" w:sz="0" w:space="0" w:color="auto"/>
                <w:left w:val="none" w:sz="0" w:space="0" w:color="auto"/>
                <w:bottom w:val="none" w:sz="0" w:space="0" w:color="auto"/>
                <w:right w:val="none" w:sz="0" w:space="0" w:color="auto"/>
              </w:divBdr>
              <w:divsChild>
                <w:div w:id="141966588">
                  <w:marLeft w:val="0"/>
                  <w:marRight w:val="0"/>
                  <w:marTop w:val="0"/>
                  <w:marBottom w:val="0"/>
                  <w:divBdr>
                    <w:top w:val="none" w:sz="0" w:space="0" w:color="auto"/>
                    <w:left w:val="none" w:sz="0" w:space="0" w:color="auto"/>
                    <w:bottom w:val="none" w:sz="0" w:space="0" w:color="auto"/>
                    <w:right w:val="none" w:sz="0" w:space="0" w:color="auto"/>
                  </w:divBdr>
                </w:div>
              </w:divsChild>
            </w:div>
            <w:div w:id="1435513319">
              <w:marLeft w:val="0"/>
              <w:marRight w:val="0"/>
              <w:marTop w:val="0"/>
              <w:marBottom w:val="0"/>
              <w:divBdr>
                <w:top w:val="none" w:sz="0" w:space="0" w:color="auto"/>
                <w:left w:val="none" w:sz="0" w:space="0" w:color="auto"/>
                <w:bottom w:val="none" w:sz="0" w:space="0" w:color="auto"/>
                <w:right w:val="none" w:sz="0" w:space="0" w:color="auto"/>
              </w:divBdr>
              <w:divsChild>
                <w:div w:id="1139804147">
                  <w:marLeft w:val="0"/>
                  <w:marRight w:val="0"/>
                  <w:marTop w:val="0"/>
                  <w:marBottom w:val="0"/>
                  <w:divBdr>
                    <w:top w:val="none" w:sz="0" w:space="0" w:color="auto"/>
                    <w:left w:val="none" w:sz="0" w:space="0" w:color="auto"/>
                    <w:bottom w:val="none" w:sz="0" w:space="0" w:color="auto"/>
                    <w:right w:val="none" w:sz="0" w:space="0" w:color="auto"/>
                  </w:divBdr>
                </w:div>
                <w:div w:id="2086562969">
                  <w:marLeft w:val="0"/>
                  <w:marRight w:val="0"/>
                  <w:marTop w:val="0"/>
                  <w:marBottom w:val="0"/>
                  <w:divBdr>
                    <w:top w:val="none" w:sz="0" w:space="0" w:color="auto"/>
                    <w:left w:val="none" w:sz="0" w:space="0" w:color="auto"/>
                    <w:bottom w:val="none" w:sz="0" w:space="0" w:color="auto"/>
                    <w:right w:val="none" w:sz="0" w:space="0" w:color="auto"/>
                  </w:divBdr>
                </w:div>
              </w:divsChild>
            </w:div>
            <w:div w:id="1260219456">
              <w:marLeft w:val="0"/>
              <w:marRight w:val="0"/>
              <w:marTop w:val="0"/>
              <w:marBottom w:val="0"/>
              <w:divBdr>
                <w:top w:val="none" w:sz="0" w:space="0" w:color="auto"/>
                <w:left w:val="none" w:sz="0" w:space="0" w:color="auto"/>
                <w:bottom w:val="none" w:sz="0" w:space="0" w:color="auto"/>
                <w:right w:val="none" w:sz="0" w:space="0" w:color="auto"/>
              </w:divBdr>
              <w:divsChild>
                <w:div w:id="18553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10570">
          <w:marLeft w:val="0"/>
          <w:marRight w:val="0"/>
          <w:marTop w:val="0"/>
          <w:marBottom w:val="0"/>
          <w:divBdr>
            <w:top w:val="none" w:sz="0" w:space="0" w:color="auto"/>
            <w:left w:val="none" w:sz="0" w:space="0" w:color="auto"/>
            <w:bottom w:val="none" w:sz="0" w:space="0" w:color="auto"/>
            <w:right w:val="none" w:sz="0" w:space="0" w:color="auto"/>
          </w:divBdr>
          <w:divsChild>
            <w:div w:id="2117671720">
              <w:marLeft w:val="0"/>
              <w:marRight w:val="0"/>
              <w:marTop w:val="0"/>
              <w:marBottom w:val="0"/>
              <w:divBdr>
                <w:top w:val="none" w:sz="0" w:space="0" w:color="auto"/>
                <w:left w:val="none" w:sz="0" w:space="0" w:color="auto"/>
                <w:bottom w:val="none" w:sz="0" w:space="0" w:color="auto"/>
                <w:right w:val="none" w:sz="0" w:space="0" w:color="auto"/>
              </w:divBdr>
              <w:divsChild>
                <w:div w:id="709299905">
                  <w:marLeft w:val="0"/>
                  <w:marRight w:val="0"/>
                  <w:marTop w:val="0"/>
                  <w:marBottom w:val="0"/>
                  <w:divBdr>
                    <w:top w:val="none" w:sz="0" w:space="0" w:color="auto"/>
                    <w:left w:val="none" w:sz="0" w:space="0" w:color="auto"/>
                    <w:bottom w:val="none" w:sz="0" w:space="0" w:color="auto"/>
                    <w:right w:val="none" w:sz="0" w:space="0" w:color="auto"/>
                  </w:divBdr>
                </w:div>
              </w:divsChild>
            </w:div>
            <w:div w:id="230578561">
              <w:marLeft w:val="0"/>
              <w:marRight w:val="0"/>
              <w:marTop w:val="0"/>
              <w:marBottom w:val="0"/>
              <w:divBdr>
                <w:top w:val="none" w:sz="0" w:space="0" w:color="auto"/>
                <w:left w:val="none" w:sz="0" w:space="0" w:color="auto"/>
                <w:bottom w:val="none" w:sz="0" w:space="0" w:color="auto"/>
                <w:right w:val="none" w:sz="0" w:space="0" w:color="auto"/>
              </w:divBdr>
              <w:divsChild>
                <w:div w:id="12489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3155">
          <w:marLeft w:val="0"/>
          <w:marRight w:val="0"/>
          <w:marTop w:val="0"/>
          <w:marBottom w:val="0"/>
          <w:divBdr>
            <w:top w:val="none" w:sz="0" w:space="0" w:color="auto"/>
            <w:left w:val="none" w:sz="0" w:space="0" w:color="auto"/>
            <w:bottom w:val="none" w:sz="0" w:space="0" w:color="auto"/>
            <w:right w:val="none" w:sz="0" w:space="0" w:color="auto"/>
          </w:divBdr>
          <w:divsChild>
            <w:div w:id="1295133836">
              <w:marLeft w:val="0"/>
              <w:marRight w:val="0"/>
              <w:marTop w:val="0"/>
              <w:marBottom w:val="0"/>
              <w:divBdr>
                <w:top w:val="none" w:sz="0" w:space="0" w:color="auto"/>
                <w:left w:val="none" w:sz="0" w:space="0" w:color="auto"/>
                <w:bottom w:val="none" w:sz="0" w:space="0" w:color="auto"/>
                <w:right w:val="none" w:sz="0" w:space="0" w:color="auto"/>
              </w:divBdr>
              <w:divsChild>
                <w:div w:id="6149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4478</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2018-09-07T16:47:00Z</dcterms:created>
  <dcterms:modified xsi:type="dcterms:W3CDTF">2018-09-07T17:33:00Z</dcterms:modified>
</cp:coreProperties>
</file>